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7289" w14:textId="77777777" w:rsidR="003D54A1" w:rsidRDefault="003D54A1" w:rsidP="00520ED0">
      <w:pPr>
        <w:rPr>
          <w:rFonts w:cs="Arial"/>
          <w:b/>
          <w:bCs/>
          <w:color w:val="2F5496"/>
          <w:sz w:val="32"/>
          <w:szCs w:val="32"/>
        </w:rPr>
      </w:pPr>
    </w:p>
    <w:p w14:paraId="1DD0BD13" w14:textId="77777777" w:rsidR="00C73AA1" w:rsidRPr="003D54A1" w:rsidRDefault="00C73AA1" w:rsidP="00520ED0">
      <w:pPr>
        <w:rPr>
          <w:rFonts w:cs="Arial"/>
          <w:b/>
          <w:bCs/>
          <w:color w:val="2F5496"/>
          <w:sz w:val="32"/>
          <w:szCs w:val="32"/>
        </w:rPr>
      </w:pPr>
    </w:p>
    <w:p w14:paraId="6BF24A6E" w14:textId="77777777" w:rsidR="003D54A1" w:rsidRPr="003D54A1" w:rsidRDefault="003D54A1" w:rsidP="00520ED0">
      <w:pPr>
        <w:rPr>
          <w:rFonts w:cs="Arial"/>
          <w:b/>
          <w:bCs/>
          <w:color w:val="2F5496"/>
          <w:sz w:val="32"/>
          <w:szCs w:val="32"/>
        </w:rPr>
      </w:pPr>
      <w:r w:rsidRPr="003D54A1">
        <w:rPr>
          <w:rFonts w:cs="Arial"/>
          <w:b/>
          <w:bCs/>
          <w:noProof/>
          <w:color w:val="2F5496"/>
          <w:sz w:val="32"/>
          <w:szCs w:val="32"/>
          <w:lang w:eastAsia="en-GB"/>
        </w:rPr>
        <w:drawing>
          <wp:inline distT="0" distB="0" distL="0" distR="0" wp14:anchorId="5680D51E" wp14:editId="277CC0C8">
            <wp:extent cx="3305175" cy="94805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a:extLst>
                        <a:ext uri="{28A0092B-C50C-407E-A947-70E740481C1C}">
                          <a14:useLocalDpi xmlns:a14="http://schemas.microsoft.com/office/drawing/2010/main" val="0"/>
                        </a:ext>
                      </a:extLst>
                    </a:blip>
                    <a:stretch>
                      <a:fillRect/>
                    </a:stretch>
                  </pic:blipFill>
                  <pic:spPr>
                    <a:xfrm>
                      <a:off x="0" y="0"/>
                      <a:ext cx="3324059" cy="953467"/>
                    </a:xfrm>
                    <a:prstGeom prst="rect">
                      <a:avLst/>
                    </a:prstGeom>
                  </pic:spPr>
                </pic:pic>
              </a:graphicData>
            </a:graphic>
          </wp:inline>
        </w:drawing>
      </w:r>
    </w:p>
    <w:p w14:paraId="491E5792" w14:textId="77777777" w:rsidR="003D54A1" w:rsidRPr="003D54A1" w:rsidRDefault="003D54A1" w:rsidP="00520ED0">
      <w:pPr>
        <w:rPr>
          <w:rFonts w:cs="Arial"/>
          <w:b/>
          <w:bCs/>
          <w:color w:val="2F5496"/>
          <w:sz w:val="32"/>
          <w:szCs w:val="32"/>
        </w:rPr>
      </w:pPr>
    </w:p>
    <w:p w14:paraId="2C124E63" w14:textId="3E6A55A5" w:rsidR="00520ED0" w:rsidRPr="003D54A1" w:rsidRDefault="00520ED0" w:rsidP="00520ED0">
      <w:pPr>
        <w:rPr>
          <w:rFonts w:cs="Arial"/>
          <w:b/>
          <w:bCs/>
          <w:color w:val="2F5496"/>
          <w:sz w:val="32"/>
          <w:szCs w:val="32"/>
        </w:rPr>
      </w:pPr>
      <w:r w:rsidRPr="003D54A1">
        <w:rPr>
          <w:rFonts w:cs="Arial"/>
          <w:b/>
          <w:bCs/>
          <w:color w:val="2F5496"/>
          <w:sz w:val="32"/>
          <w:szCs w:val="32"/>
        </w:rPr>
        <w:t xml:space="preserve">Infection Prevention and Control Measures </w:t>
      </w:r>
      <w:r w:rsidR="00C06E2E" w:rsidRPr="003D54A1">
        <w:rPr>
          <w:rFonts w:cs="Arial"/>
          <w:b/>
          <w:bCs/>
          <w:color w:val="2F5496"/>
          <w:sz w:val="32"/>
          <w:szCs w:val="32"/>
        </w:rPr>
        <w:t>for</w:t>
      </w:r>
      <w:r w:rsidRPr="003D54A1">
        <w:rPr>
          <w:rFonts w:cs="Arial"/>
          <w:b/>
          <w:bCs/>
          <w:color w:val="2F5496"/>
          <w:sz w:val="32"/>
          <w:szCs w:val="32"/>
        </w:rPr>
        <w:t xml:space="preserve"> </w:t>
      </w:r>
      <w:r w:rsidR="003D54A1" w:rsidRPr="003D54A1">
        <w:rPr>
          <w:rFonts w:cs="Arial"/>
          <w:b/>
          <w:bCs/>
          <w:color w:val="2F5496"/>
          <w:sz w:val="32"/>
          <w:szCs w:val="32"/>
        </w:rPr>
        <w:br/>
      </w:r>
      <w:r w:rsidR="00062CD1">
        <w:rPr>
          <w:rFonts w:cs="Arial"/>
          <w:b/>
          <w:bCs/>
          <w:color w:val="2F5496"/>
          <w:sz w:val="32"/>
          <w:szCs w:val="32"/>
        </w:rPr>
        <w:t xml:space="preserve">Acute Respiratory Infections (ARI) </w:t>
      </w:r>
      <w:r w:rsidR="004C01F0">
        <w:rPr>
          <w:rFonts w:cs="Arial"/>
          <w:b/>
          <w:bCs/>
          <w:color w:val="2F5496"/>
          <w:sz w:val="32"/>
          <w:szCs w:val="32"/>
        </w:rPr>
        <w:t>including COVID-19 for</w:t>
      </w:r>
      <w:r w:rsidRPr="003D54A1">
        <w:rPr>
          <w:rFonts w:cs="Arial"/>
          <w:b/>
          <w:bCs/>
          <w:color w:val="2F5496"/>
          <w:sz w:val="32"/>
          <w:szCs w:val="32"/>
        </w:rPr>
        <w:t xml:space="preserve"> Health</w:t>
      </w:r>
      <w:r w:rsidR="00C33342" w:rsidRPr="003D54A1">
        <w:rPr>
          <w:rFonts w:cs="Arial"/>
          <w:b/>
          <w:bCs/>
          <w:color w:val="2F5496"/>
          <w:sz w:val="32"/>
          <w:szCs w:val="32"/>
        </w:rPr>
        <w:t xml:space="preserve"> and C</w:t>
      </w:r>
      <w:r w:rsidRPr="003D54A1">
        <w:rPr>
          <w:rFonts w:cs="Arial"/>
          <w:b/>
          <w:bCs/>
          <w:color w:val="2F5496"/>
          <w:sz w:val="32"/>
          <w:szCs w:val="32"/>
        </w:rPr>
        <w:t>are Settings</w:t>
      </w:r>
      <w:r w:rsidR="00C33342" w:rsidRPr="003D54A1">
        <w:rPr>
          <w:rFonts w:cs="Arial"/>
          <w:b/>
          <w:bCs/>
          <w:color w:val="2F5496"/>
          <w:sz w:val="32"/>
          <w:szCs w:val="32"/>
        </w:rPr>
        <w:t xml:space="preserve"> - WALES</w:t>
      </w:r>
      <w:r w:rsidRPr="003D54A1">
        <w:rPr>
          <w:rFonts w:cs="Arial"/>
          <w:b/>
          <w:bCs/>
          <w:color w:val="2F5496"/>
          <w:sz w:val="32"/>
          <w:szCs w:val="32"/>
        </w:rPr>
        <w:t>.</w:t>
      </w:r>
    </w:p>
    <w:p w14:paraId="5555F757" w14:textId="77777777" w:rsidR="00520ED0" w:rsidRPr="003D54A1" w:rsidRDefault="00520ED0" w:rsidP="000A1942">
      <w:pPr>
        <w:rPr>
          <w:rFonts w:cs="Arial"/>
          <w:b/>
          <w:bCs/>
          <w:color w:val="2F5496"/>
          <w:sz w:val="32"/>
          <w:szCs w:val="32"/>
        </w:rPr>
      </w:pPr>
    </w:p>
    <w:p w14:paraId="5DFEBA77" w14:textId="77777777" w:rsidR="000A1942" w:rsidRPr="003D54A1" w:rsidRDefault="000A1942" w:rsidP="000A1942">
      <w:pPr>
        <w:rPr>
          <w:rFonts w:cs="Arial"/>
          <w:b/>
          <w:bCs/>
          <w:color w:val="2F5496"/>
          <w:sz w:val="32"/>
          <w:szCs w:val="32"/>
        </w:rPr>
      </w:pPr>
    </w:p>
    <w:p w14:paraId="10445CB9" w14:textId="77777777" w:rsidR="00DD44B3" w:rsidRPr="003D54A1" w:rsidRDefault="00DD44B3" w:rsidP="000A1942">
      <w:pPr>
        <w:rPr>
          <w:rFonts w:cs="Arial"/>
          <w:b/>
          <w:bCs/>
          <w:color w:val="2F5496"/>
          <w:sz w:val="32"/>
          <w:szCs w:val="32"/>
        </w:rPr>
      </w:pPr>
    </w:p>
    <w:p w14:paraId="29A5D17E" w14:textId="77777777" w:rsidR="00DD44B3" w:rsidRPr="003D54A1" w:rsidRDefault="00DD44B3" w:rsidP="000A1942">
      <w:pPr>
        <w:rPr>
          <w:rFonts w:cs="Arial"/>
          <w:b/>
          <w:bCs/>
          <w:color w:val="2F5496"/>
          <w:sz w:val="32"/>
          <w:szCs w:val="32"/>
        </w:rPr>
      </w:pPr>
    </w:p>
    <w:p w14:paraId="59628FA9" w14:textId="77777777" w:rsidR="00DD44B3" w:rsidRPr="003D54A1" w:rsidRDefault="00DD44B3" w:rsidP="000A1942">
      <w:pPr>
        <w:rPr>
          <w:rFonts w:cs="Arial"/>
          <w:b/>
          <w:bCs/>
          <w:color w:val="2F5496"/>
          <w:sz w:val="32"/>
          <w:szCs w:val="32"/>
        </w:rPr>
      </w:pPr>
    </w:p>
    <w:p w14:paraId="352E2BC6" w14:textId="77777777" w:rsidR="00DD44B3" w:rsidRPr="003D54A1" w:rsidRDefault="00DD44B3" w:rsidP="000A1942">
      <w:pPr>
        <w:rPr>
          <w:rFonts w:cs="Arial"/>
          <w:b/>
          <w:bCs/>
          <w:color w:val="2F5496"/>
          <w:sz w:val="32"/>
          <w:szCs w:val="32"/>
        </w:rPr>
      </w:pPr>
    </w:p>
    <w:p w14:paraId="47521B8D" w14:textId="77777777" w:rsidR="004D52D5" w:rsidRPr="003D54A1" w:rsidRDefault="004D52D5" w:rsidP="000A1942">
      <w:pPr>
        <w:rPr>
          <w:rFonts w:cs="Arial"/>
          <w:b/>
          <w:bCs/>
          <w:color w:val="2F5496"/>
          <w:sz w:val="32"/>
          <w:szCs w:val="32"/>
        </w:rPr>
      </w:pPr>
    </w:p>
    <w:p w14:paraId="33F7DB25" w14:textId="77777777" w:rsidR="004D52D5" w:rsidRPr="003D54A1" w:rsidRDefault="004D52D5" w:rsidP="000A1942">
      <w:pPr>
        <w:rPr>
          <w:rFonts w:cs="Arial"/>
          <w:b/>
          <w:bCs/>
          <w:color w:val="2F5496"/>
          <w:sz w:val="32"/>
          <w:szCs w:val="32"/>
        </w:rPr>
      </w:pPr>
    </w:p>
    <w:p w14:paraId="4E756668" w14:textId="77777777" w:rsidR="00DC71CB" w:rsidRDefault="00DA05DB" w:rsidP="000A1942">
      <w:pPr>
        <w:rPr>
          <w:rFonts w:cs="Arial"/>
          <w:b/>
          <w:bCs/>
          <w:color w:val="2F5496"/>
          <w:sz w:val="32"/>
          <w:szCs w:val="32"/>
        </w:rPr>
      </w:pPr>
      <w:r>
        <w:rPr>
          <w:rFonts w:cs="Arial"/>
          <w:b/>
          <w:bCs/>
          <w:color w:val="2F5496"/>
          <w:sz w:val="32"/>
          <w:szCs w:val="32"/>
        </w:rPr>
        <w:t>FINAL version approved 16.02.2023 – PHW ARI Management Group</w:t>
      </w:r>
    </w:p>
    <w:p w14:paraId="469EFBFF" w14:textId="5E160DD0" w:rsidR="004D52D5" w:rsidRDefault="00DC71CB" w:rsidP="000A1942">
      <w:pPr>
        <w:rPr>
          <w:rFonts w:cs="Arial"/>
          <w:b/>
          <w:bCs/>
          <w:color w:val="2F5496"/>
          <w:sz w:val="32"/>
          <w:szCs w:val="32"/>
        </w:rPr>
      </w:pPr>
      <w:r>
        <w:rPr>
          <w:rFonts w:cs="Arial"/>
          <w:b/>
          <w:bCs/>
          <w:color w:val="2F5496"/>
          <w:sz w:val="32"/>
          <w:szCs w:val="32"/>
        </w:rPr>
        <w:t>Update</w:t>
      </w:r>
      <w:r w:rsidR="007315EC">
        <w:rPr>
          <w:rFonts w:cs="Arial"/>
          <w:b/>
          <w:bCs/>
          <w:color w:val="2F5496"/>
          <w:sz w:val="32"/>
          <w:szCs w:val="32"/>
        </w:rPr>
        <w:t>d</w:t>
      </w:r>
      <w:r>
        <w:rPr>
          <w:rFonts w:cs="Arial"/>
          <w:b/>
          <w:bCs/>
          <w:color w:val="2F5496"/>
          <w:sz w:val="32"/>
          <w:szCs w:val="32"/>
        </w:rPr>
        <w:t xml:space="preserve"> </w:t>
      </w:r>
      <w:proofErr w:type="gramStart"/>
      <w:r>
        <w:rPr>
          <w:rFonts w:cs="Arial"/>
          <w:b/>
          <w:bCs/>
          <w:color w:val="2F5496"/>
          <w:sz w:val="32"/>
          <w:szCs w:val="32"/>
        </w:rPr>
        <w:t>01.11.2023</w:t>
      </w:r>
      <w:proofErr w:type="gramEnd"/>
      <w:r w:rsidR="003732DF">
        <w:rPr>
          <w:rFonts w:cs="Arial"/>
          <w:b/>
          <w:bCs/>
          <w:color w:val="2F5496"/>
          <w:sz w:val="32"/>
          <w:szCs w:val="32"/>
        </w:rPr>
        <w:t xml:space="preserve"> </w:t>
      </w:r>
    </w:p>
    <w:p w14:paraId="29F8623D" w14:textId="0522C9D7" w:rsidR="00DA05DB" w:rsidRPr="003D54A1" w:rsidRDefault="00DA05DB" w:rsidP="000A1942">
      <w:pPr>
        <w:rPr>
          <w:rFonts w:cs="Arial"/>
          <w:b/>
          <w:bCs/>
          <w:color w:val="2F5496"/>
          <w:sz w:val="32"/>
          <w:szCs w:val="32"/>
        </w:rPr>
      </w:pPr>
      <w:r>
        <w:rPr>
          <w:rFonts w:cs="Arial"/>
          <w:b/>
          <w:bCs/>
          <w:color w:val="2F5496"/>
          <w:sz w:val="32"/>
          <w:szCs w:val="32"/>
        </w:rPr>
        <w:t xml:space="preserve">Review date </w:t>
      </w:r>
      <w:r w:rsidR="005C47BF">
        <w:rPr>
          <w:rFonts w:cs="Arial"/>
          <w:b/>
          <w:bCs/>
          <w:color w:val="2F5496"/>
          <w:sz w:val="32"/>
          <w:szCs w:val="32"/>
        </w:rPr>
        <w:t>September</w:t>
      </w:r>
      <w:r>
        <w:rPr>
          <w:rFonts w:cs="Arial"/>
          <w:b/>
          <w:bCs/>
          <w:color w:val="2F5496"/>
          <w:sz w:val="32"/>
          <w:szCs w:val="32"/>
        </w:rPr>
        <w:t xml:space="preserve"> 2024</w:t>
      </w:r>
    </w:p>
    <w:p w14:paraId="5C365282" w14:textId="77777777" w:rsidR="000A1942" w:rsidRPr="003D54A1" w:rsidRDefault="000A1942" w:rsidP="000A1942">
      <w:pPr>
        <w:rPr>
          <w:rFonts w:cs="Arial"/>
          <w:b/>
          <w:bCs/>
          <w:color w:val="2F5496"/>
          <w:sz w:val="32"/>
          <w:szCs w:val="32"/>
        </w:rPr>
      </w:pPr>
    </w:p>
    <w:p w14:paraId="2B081C25" w14:textId="77777777" w:rsidR="000A1942" w:rsidRPr="003D54A1" w:rsidRDefault="006A3D0A" w:rsidP="000A1942">
      <w:pPr>
        <w:rPr>
          <w:rFonts w:cs="Arial"/>
          <w:b/>
          <w:bCs/>
          <w:color w:val="2F5496"/>
          <w:sz w:val="32"/>
          <w:szCs w:val="32"/>
        </w:rPr>
      </w:pPr>
      <w:r w:rsidRPr="003D54A1">
        <w:rPr>
          <w:rFonts w:cs="Arial"/>
          <w:b/>
          <w:bCs/>
          <w:color w:val="2F5496"/>
          <w:sz w:val="32"/>
          <w:szCs w:val="32"/>
        </w:rPr>
        <w:t>Acknowledgements:</w:t>
      </w:r>
    </w:p>
    <w:p w14:paraId="712C85E3" w14:textId="659938A1" w:rsidR="006A3D0A" w:rsidRPr="003D54A1" w:rsidRDefault="006A3D0A" w:rsidP="000A1942">
      <w:pPr>
        <w:rPr>
          <w:rFonts w:cs="Arial"/>
          <w:b/>
          <w:bCs/>
          <w:color w:val="2F5496"/>
          <w:sz w:val="32"/>
          <w:szCs w:val="32"/>
        </w:rPr>
      </w:pPr>
      <w:r w:rsidRPr="003D54A1">
        <w:rPr>
          <w:rFonts w:cs="Arial"/>
          <w:b/>
          <w:bCs/>
          <w:color w:val="2F5496"/>
          <w:sz w:val="32"/>
          <w:szCs w:val="32"/>
        </w:rPr>
        <w:t>Amended for use in Wales from original document prepared by NHSE &amp; IPC team May 2022.</w:t>
      </w:r>
    </w:p>
    <w:p w14:paraId="54195C7C" w14:textId="77777777" w:rsidR="000A1942" w:rsidRPr="003D54A1" w:rsidRDefault="000A1942" w:rsidP="000A1942">
      <w:pPr>
        <w:rPr>
          <w:rFonts w:cs="Arial"/>
          <w:b/>
          <w:bCs/>
          <w:color w:val="2F5496"/>
          <w:sz w:val="32"/>
          <w:szCs w:val="32"/>
        </w:rPr>
      </w:pPr>
    </w:p>
    <w:p w14:paraId="6BFDE72C" w14:textId="77777777" w:rsidR="000A1942" w:rsidRPr="003D54A1" w:rsidRDefault="000A1942" w:rsidP="000A1942">
      <w:pPr>
        <w:rPr>
          <w:rFonts w:cs="Arial"/>
          <w:b/>
          <w:bCs/>
          <w:color w:val="2F5496"/>
          <w:sz w:val="32"/>
          <w:szCs w:val="32"/>
        </w:rPr>
      </w:pPr>
    </w:p>
    <w:p w14:paraId="6452353F" w14:textId="77777777" w:rsidR="00076463" w:rsidRDefault="00076463" w:rsidP="003D54A1">
      <w:pPr>
        <w:rPr>
          <w:rFonts w:cs="Arial"/>
          <w:b/>
          <w:bCs/>
          <w:color w:val="2F5496"/>
          <w:sz w:val="32"/>
          <w:szCs w:val="32"/>
        </w:rPr>
        <w:sectPr w:rsidR="00076463" w:rsidSect="00DA05DB">
          <w:footerReference w:type="default" r:id="rId12"/>
          <w:footerReference w:type="first" r:id="rId13"/>
          <w:type w:val="continuous"/>
          <w:pgSz w:w="11906" w:h="16838"/>
          <w:pgMar w:top="1440" w:right="1440" w:bottom="1440" w:left="1440" w:header="708" w:footer="708" w:gutter="0"/>
          <w:cols w:space="708"/>
          <w:titlePg/>
          <w:docGrid w:linePitch="360"/>
        </w:sectPr>
      </w:pPr>
    </w:p>
    <w:p w14:paraId="678783A1" w14:textId="77777777" w:rsidR="00076463" w:rsidRDefault="000A1942" w:rsidP="003D54A1">
      <w:pPr>
        <w:rPr>
          <w:noProof/>
        </w:rPr>
      </w:pPr>
      <w:r w:rsidRPr="003D54A1">
        <w:rPr>
          <w:rFonts w:cs="Arial"/>
          <w:b/>
          <w:bCs/>
          <w:color w:val="2F5496"/>
          <w:sz w:val="32"/>
          <w:szCs w:val="32"/>
        </w:rPr>
        <w:t>Table of Contents</w:t>
      </w:r>
      <w:r w:rsidRPr="003D54A1">
        <w:rPr>
          <w:rFonts w:cs="Arial"/>
          <w:b/>
          <w:bCs/>
          <w:color w:val="2F5496"/>
          <w:sz w:val="32"/>
          <w:szCs w:val="32"/>
        </w:rPr>
        <w:fldChar w:fldCharType="begin"/>
      </w:r>
      <w:r w:rsidRPr="003D54A1">
        <w:rPr>
          <w:rFonts w:cs="Arial"/>
          <w:b/>
          <w:bCs/>
          <w:color w:val="2F5496"/>
          <w:sz w:val="32"/>
          <w:szCs w:val="32"/>
        </w:rPr>
        <w:instrText xml:space="preserve"> TOC \o "1-3" \f \h \z \t "TOC heading 2,1,TOC heading 3,2,TOC heading 4,3" </w:instrText>
      </w:r>
      <w:r w:rsidRPr="003D54A1">
        <w:rPr>
          <w:rFonts w:cs="Arial"/>
          <w:b/>
          <w:bCs/>
          <w:color w:val="2F5496"/>
          <w:sz w:val="32"/>
          <w:szCs w:val="32"/>
        </w:rPr>
        <w:fldChar w:fldCharType="separate"/>
      </w:r>
    </w:p>
    <w:p w14:paraId="54D1A050" w14:textId="1747C46F" w:rsidR="00076463" w:rsidRPr="00076463" w:rsidRDefault="00FD2B12">
      <w:pPr>
        <w:pStyle w:val="TOC1"/>
        <w:tabs>
          <w:tab w:val="left" w:pos="440"/>
          <w:tab w:val="right" w:leader="dot" w:pos="9016"/>
        </w:tabs>
        <w:rPr>
          <w:rFonts w:asciiTheme="minorHAnsi" w:eastAsiaTheme="minorEastAsia" w:hAnsiTheme="minorHAnsi" w:cstheme="minorBidi"/>
          <w:b w:val="0"/>
          <w:bCs w:val="0"/>
          <w:noProof/>
          <w:sz w:val="24"/>
          <w:szCs w:val="24"/>
          <w:lang w:eastAsia="en-GB"/>
        </w:rPr>
      </w:pPr>
      <w:hyperlink w:anchor="_Toc124166179" w:history="1">
        <w:r w:rsidR="00076463" w:rsidRPr="00076463">
          <w:rPr>
            <w:rStyle w:val="Hyperlink"/>
            <w:noProof/>
            <w:sz w:val="24"/>
            <w:szCs w:val="24"/>
            <w:lang w:eastAsia="en-GB"/>
            <w14:scene3d>
              <w14:camera w14:prst="orthographicFront"/>
              <w14:lightRig w14:rig="threePt" w14:dir="t">
                <w14:rot w14:lat="0" w14:lon="0" w14:rev="0"/>
              </w14:lightRig>
            </w14:scene3d>
          </w:rPr>
          <w:t>1.</w:t>
        </w:r>
        <w:r w:rsidR="00076463" w:rsidRPr="00076463">
          <w:rPr>
            <w:rFonts w:asciiTheme="minorHAnsi" w:eastAsiaTheme="minorEastAsia" w:hAnsiTheme="minorHAnsi" w:cstheme="minorBidi"/>
            <w:b w:val="0"/>
            <w:bCs w:val="0"/>
            <w:noProof/>
            <w:sz w:val="24"/>
            <w:szCs w:val="24"/>
            <w:lang w:eastAsia="en-GB"/>
          </w:rPr>
          <w:tab/>
        </w:r>
        <w:r w:rsidR="00076463" w:rsidRPr="00076463">
          <w:rPr>
            <w:rStyle w:val="Hyperlink"/>
            <w:noProof/>
            <w:sz w:val="24"/>
            <w:szCs w:val="24"/>
            <w:lang w:eastAsia="en-GB"/>
          </w:rPr>
          <w:t>Introduction</w:t>
        </w:r>
        <w:r w:rsidR="00076463" w:rsidRPr="00076463">
          <w:rPr>
            <w:noProof/>
            <w:webHidden/>
            <w:sz w:val="24"/>
            <w:szCs w:val="24"/>
          </w:rPr>
          <w:tab/>
        </w:r>
        <w:r w:rsidR="00076463" w:rsidRPr="00076463">
          <w:rPr>
            <w:noProof/>
            <w:webHidden/>
            <w:sz w:val="24"/>
            <w:szCs w:val="24"/>
          </w:rPr>
          <w:fldChar w:fldCharType="begin"/>
        </w:r>
        <w:r w:rsidR="00076463" w:rsidRPr="00076463">
          <w:rPr>
            <w:noProof/>
            <w:webHidden/>
            <w:sz w:val="24"/>
            <w:szCs w:val="24"/>
          </w:rPr>
          <w:instrText xml:space="preserve"> PAGEREF _Toc124166179 \h </w:instrText>
        </w:r>
        <w:r w:rsidR="00076463" w:rsidRPr="00076463">
          <w:rPr>
            <w:noProof/>
            <w:webHidden/>
            <w:sz w:val="24"/>
            <w:szCs w:val="24"/>
          </w:rPr>
        </w:r>
        <w:r w:rsidR="00076463" w:rsidRPr="00076463">
          <w:rPr>
            <w:noProof/>
            <w:webHidden/>
            <w:sz w:val="24"/>
            <w:szCs w:val="24"/>
          </w:rPr>
          <w:fldChar w:fldCharType="separate"/>
        </w:r>
        <w:r w:rsidR="00C22496">
          <w:rPr>
            <w:noProof/>
            <w:webHidden/>
            <w:sz w:val="24"/>
            <w:szCs w:val="24"/>
          </w:rPr>
          <w:t>3</w:t>
        </w:r>
        <w:r w:rsidR="00076463" w:rsidRPr="00076463">
          <w:rPr>
            <w:noProof/>
            <w:webHidden/>
            <w:sz w:val="24"/>
            <w:szCs w:val="24"/>
          </w:rPr>
          <w:fldChar w:fldCharType="end"/>
        </w:r>
      </w:hyperlink>
      <w:r w:rsidR="0098777D">
        <w:rPr>
          <w:noProof/>
          <w:sz w:val="24"/>
          <w:szCs w:val="24"/>
        </w:rPr>
        <w:t>/4</w:t>
      </w:r>
    </w:p>
    <w:p w14:paraId="08FFFB53" w14:textId="73477E86" w:rsidR="00076463" w:rsidRPr="00076463" w:rsidRDefault="00FD2B12">
      <w:pPr>
        <w:pStyle w:val="TOC1"/>
        <w:tabs>
          <w:tab w:val="left" w:pos="440"/>
          <w:tab w:val="right" w:leader="dot" w:pos="9016"/>
        </w:tabs>
        <w:rPr>
          <w:rFonts w:asciiTheme="minorHAnsi" w:eastAsiaTheme="minorEastAsia" w:hAnsiTheme="minorHAnsi" w:cstheme="minorBidi"/>
          <w:b w:val="0"/>
          <w:bCs w:val="0"/>
          <w:noProof/>
          <w:sz w:val="24"/>
          <w:szCs w:val="24"/>
          <w:lang w:eastAsia="en-GB"/>
        </w:rPr>
      </w:pPr>
      <w:hyperlink w:anchor="_Toc124166180" w:history="1">
        <w:r w:rsidR="00076463" w:rsidRPr="00076463">
          <w:rPr>
            <w:rStyle w:val="Hyperlink"/>
            <w:noProof/>
            <w:sz w:val="24"/>
            <w:szCs w:val="24"/>
            <w:lang w:eastAsia="en-GB"/>
            <w14:scene3d>
              <w14:camera w14:prst="orthographicFront"/>
              <w14:lightRig w14:rig="threePt" w14:dir="t">
                <w14:rot w14:lat="0" w14:lon="0" w14:rev="0"/>
              </w14:lightRig>
            </w14:scene3d>
          </w:rPr>
          <w:t>2.</w:t>
        </w:r>
        <w:r w:rsidR="00076463" w:rsidRPr="00076463">
          <w:rPr>
            <w:rFonts w:asciiTheme="minorHAnsi" w:eastAsiaTheme="minorEastAsia" w:hAnsiTheme="minorHAnsi" w:cstheme="minorBidi"/>
            <w:b w:val="0"/>
            <w:bCs w:val="0"/>
            <w:noProof/>
            <w:sz w:val="24"/>
            <w:szCs w:val="24"/>
            <w:lang w:eastAsia="en-GB"/>
          </w:rPr>
          <w:tab/>
        </w:r>
        <w:r w:rsidR="00076463" w:rsidRPr="00076463">
          <w:rPr>
            <w:rStyle w:val="Hyperlink"/>
            <w:noProof/>
            <w:sz w:val="24"/>
            <w:szCs w:val="24"/>
            <w:lang w:eastAsia="en-GB"/>
          </w:rPr>
          <w:t>General Information</w:t>
        </w:r>
        <w:r w:rsidR="00076463" w:rsidRPr="00076463">
          <w:rPr>
            <w:noProof/>
            <w:webHidden/>
            <w:sz w:val="24"/>
            <w:szCs w:val="24"/>
          </w:rPr>
          <w:tab/>
        </w:r>
        <w:r w:rsidR="000F661D">
          <w:rPr>
            <w:noProof/>
            <w:webHidden/>
            <w:sz w:val="24"/>
            <w:szCs w:val="24"/>
          </w:rPr>
          <w:t>5</w:t>
        </w:r>
      </w:hyperlink>
    </w:p>
    <w:p w14:paraId="5F5965F5" w14:textId="2936A5C0" w:rsidR="00076463" w:rsidRPr="00076463" w:rsidRDefault="00FD2B12">
      <w:pPr>
        <w:pStyle w:val="TOC2"/>
        <w:tabs>
          <w:tab w:val="left" w:pos="880"/>
          <w:tab w:val="right" w:leader="dot" w:pos="9016"/>
        </w:tabs>
        <w:rPr>
          <w:rFonts w:asciiTheme="minorHAnsi" w:eastAsiaTheme="minorEastAsia" w:hAnsiTheme="minorHAnsi" w:cstheme="minorBidi"/>
          <w:i w:val="0"/>
          <w:iCs w:val="0"/>
          <w:noProof/>
          <w:sz w:val="24"/>
          <w:szCs w:val="24"/>
          <w:lang w:eastAsia="en-GB"/>
        </w:rPr>
      </w:pPr>
      <w:hyperlink w:anchor="_Toc124166181" w:history="1">
        <w:r w:rsidR="00076463" w:rsidRPr="00076463">
          <w:rPr>
            <w:rStyle w:val="Hyperlink"/>
            <w:noProof/>
            <w:sz w:val="24"/>
            <w:szCs w:val="24"/>
            <w:lang w:eastAsia="en-GB"/>
          </w:rPr>
          <w:t>2.1.</w:t>
        </w:r>
        <w:r w:rsidR="00076463" w:rsidRPr="00076463">
          <w:rPr>
            <w:rFonts w:asciiTheme="minorHAnsi" w:eastAsiaTheme="minorEastAsia" w:hAnsiTheme="minorHAnsi" w:cstheme="minorBidi"/>
            <w:i w:val="0"/>
            <w:iCs w:val="0"/>
            <w:noProof/>
            <w:sz w:val="24"/>
            <w:szCs w:val="24"/>
            <w:lang w:eastAsia="en-GB"/>
          </w:rPr>
          <w:tab/>
        </w:r>
        <w:r w:rsidR="00076463" w:rsidRPr="00076463">
          <w:rPr>
            <w:rStyle w:val="Hyperlink"/>
            <w:noProof/>
            <w:sz w:val="24"/>
            <w:szCs w:val="24"/>
            <w:lang w:eastAsia="en-GB"/>
          </w:rPr>
          <w:t>Infectious period</w:t>
        </w:r>
        <w:r w:rsidR="00076463" w:rsidRPr="00076463">
          <w:rPr>
            <w:noProof/>
            <w:webHidden/>
            <w:sz w:val="24"/>
            <w:szCs w:val="24"/>
          </w:rPr>
          <w:tab/>
        </w:r>
        <w:r w:rsidR="000F661D">
          <w:rPr>
            <w:noProof/>
            <w:webHidden/>
            <w:sz w:val="24"/>
            <w:szCs w:val="24"/>
          </w:rPr>
          <w:t>5</w:t>
        </w:r>
      </w:hyperlink>
    </w:p>
    <w:p w14:paraId="03A95ACC" w14:textId="70731DA0" w:rsidR="00076463" w:rsidRPr="00076463" w:rsidRDefault="00FD2B12">
      <w:pPr>
        <w:pStyle w:val="TOC2"/>
        <w:tabs>
          <w:tab w:val="left" w:pos="880"/>
          <w:tab w:val="right" w:leader="dot" w:pos="9016"/>
        </w:tabs>
        <w:rPr>
          <w:rFonts w:asciiTheme="minorHAnsi" w:eastAsiaTheme="minorEastAsia" w:hAnsiTheme="minorHAnsi" w:cstheme="minorBidi"/>
          <w:i w:val="0"/>
          <w:iCs w:val="0"/>
          <w:noProof/>
          <w:sz w:val="24"/>
          <w:szCs w:val="24"/>
          <w:lang w:eastAsia="en-GB"/>
        </w:rPr>
      </w:pPr>
      <w:hyperlink w:anchor="_Toc124166182" w:history="1">
        <w:r w:rsidR="00076463" w:rsidRPr="00076463">
          <w:rPr>
            <w:rStyle w:val="Hyperlink"/>
            <w:noProof/>
            <w:sz w:val="24"/>
            <w:szCs w:val="24"/>
            <w:lang w:eastAsia="en-GB"/>
          </w:rPr>
          <w:t>2.2.</w:t>
        </w:r>
        <w:r w:rsidR="00076463" w:rsidRPr="00076463">
          <w:rPr>
            <w:rFonts w:asciiTheme="minorHAnsi" w:eastAsiaTheme="minorEastAsia" w:hAnsiTheme="minorHAnsi" w:cstheme="minorBidi"/>
            <w:i w:val="0"/>
            <w:iCs w:val="0"/>
            <w:noProof/>
            <w:sz w:val="24"/>
            <w:szCs w:val="24"/>
            <w:lang w:eastAsia="en-GB"/>
          </w:rPr>
          <w:tab/>
        </w:r>
        <w:r w:rsidR="00076463" w:rsidRPr="00076463">
          <w:rPr>
            <w:rStyle w:val="Hyperlink"/>
            <w:noProof/>
            <w:sz w:val="24"/>
            <w:szCs w:val="24"/>
            <w:lang w:eastAsia="en-GB"/>
          </w:rPr>
          <w:t>High risk groups/individuals</w:t>
        </w:r>
        <w:r w:rsidR="00076463" w:rsidRPr="00076463">
          <w:rPr>
            <w:noProof/>
            <w:webHidden/>
            <w:sz w:val="24"/>
            <w:szCs w:val="24"/>
          </w:rPr>
          <w:tab/>
        </w:r>
        <w:r w:rsidR="000F661D">
          <w:rPr>
            <w:noProof/>
            <w:webHidden/>
            <w:sz w:val="24"/>
            <w:szCs w:val="24"/>
          </w:rPr>
          <w:t>5</w:t>
        </w:r>
      </w:hyperlink>
    </w:p>
    <w:p w14:paraId="130D0214" w14:textId="5EE4D9E2" w:rsidR="00076463" w:rsidRPr="00076463" w:rsidRDefault="00FD2B12">
      <w:pPr>
        <w:pStyle w:val="TOC2"/>
        <w:tabs>
          <w:tab w:val="left" w:pos="880"/>
          <w:tab w:val="right" w:leader="dot" w:pos="9016"/>
        </w:tabs>
        <w:rPr>
          <w:rFonts w:asciiTheme="minorHAnsi" w:eastAsiaTheme="minorEastAsia" w:hAnsiTheme="minorHAnsi" w:cstheme="minorBidi"/>
          <w:i w:val="0"/>
          <w:iCs w:val="0"/>
          <w:noProof/>
          <w:sz w:val="24"/>
          <w:szCs w:val="24"/>
          <w:lang w:eastAsia="en-GB"/>
        </w:rPr>
      </w:pPr>
      <w:hyperlink w:anchor="_Toc124166183" w:history="1">
        <w:r w:rsidR="00076463" w:rsidRPr="00076463">
          <w:rPr>
            <w:rStyle w:val="Hyperlink"/>
            <w:noProof/>
            <w:sz w:val="24"/>
            <w:szCs w:val="24"/>
            <w:lang w:eastAsia="en-GB"/>
          </w:rPr>
          <w:t>2.3.</w:t>
        </w:r>
        <w:r w:rsidR="00076463" w:rsidRPr="00076463">
          <w:rPr>
            <w:rFonts w:asciiTheme="minorHAnsi" w:eastAsiaTheme="minorEastAsia" w:hAnsiTheme="minorHAnsi" w:cstheme="minorBidi"/>
            <w:i w:val="0"/>
            <w:iCs w:val="0"/>
            <w:noProof/>
            <w:sz w:val="24"/>
            <w:szCs w:val="24"/>
            <w:lang w:eastAsia="en-GB"/>
          </w:rPr>
          <w:tab/>
        </w:r>
        <w:r w:rsidR="00076463" w:rsidRPr="00076463">
          <w:rPr>
            <w:rStyle w:val="Hyperlink"/>
            <w:noProof/>
            <w:sz w:val="24"/>
            <w:szCs w:val="24"/>
            <w:lang w:eastAsia="en-GB"/>
          </w:rPr>
          <w:t>High risk settings</w:t>
        </w:r>
        <w:r w:rsidR="00076463" w:rsidRPr="00076463">
          <w:rPr>
            <w:noProof/>
            <w:webHidden/>
            <w:sz w:val="24"/>
            <w:szCs w:val="24"/>
          </w:rPr>
          <w:tab/>
        </w:r>
        <w:r w:rsidR="000F661D">
          <w:rPr>
            <w:noProof/>
            <w:webHidden/>
            <w:sz w:val="24"/>
            <w:szCs w:val="24"/>
          </w:rPr>
          <w:t>5</w:t>
        </w:r>
      </w:hyperlink>
    </w:p>
    <w:p w14:paraId="7515750E" w14:textId="4A92448E" w:rsidR="00076463" w:rsidRPr="00076463" w:rsidRDefault="00FD2B12">
      <w:pPr>
        <w:pStyle w:val="TOC1"/>
        <w:tabs>
          <w:tab w:val="left" w:pos="440"/>
          <w:tab w:val="right" w:leader="dot" w:pos="9016"/>
        </w:tabs>
        <w:rPr>
          <w:rFonts w:asciiTheme="minorHAnsi" w:eastAsiaTheme="minorEastAsia" w:hAnsiTheme="minorHAnsi" w:cstheme="minorBidi"/>
          <w:b w:val="0"/>
          <w:bCs w:val="0"/>
          <w:noProof/>
          <w:sz w:val="24"/>
          <w:szCs w:val="24"/>
          <w:lang w:eastAsia="en-GB"/>
        </w:rPr>
      </w:pPr>
      <w:hyperlink w:anchor="_Toc124166184" w:history="1">
        <w:r w:rsidR="00076463" w:rsidRPr="00076463">
          <w:rPr>
            <w:rStyle w:val="Hyperlink"/>
            <w:noProof/>
            <w:sz w:val="24"/>
            <w:szCs w:val="24"/>
            <w:lang w:eastAsia="en-GB"/>
            <w14:scene3d>
              <w14:camera w14:prst="orthographicFront"/>
              <w14:lightRig w14:rig="threePt" w14:dir="t">
                <w14:rot w14:lat="0" w14:lon="0" w14:rev="0"/>
              </w14:lightRig>
            </w14:scene3d>
          </w:rPr>
          <w:t>3.</w:t>
        </w:r>
        <w:r w:rsidR="00076463" w:rsidRPr="00076463">
          <w:rPr>
            <w:rFonts w:asciiTheme="minorHAnsi" w:eastAsiaTheme="minorEastAsia" w:hAnsiTheme="minorHAnsi" w:cstheme="minorBidi"/>
            <w:b w:val="0"/>
            <w:bCs w:val="0"/>
            <w:noProof/>
            <w:sz w:val="24"/>
            <w:szCs w:val="24"/>
            <w:lang w:eastAsia="en-GB"/>
          </w:rPr>
          <w:tab/>
        </w:r>
        <w:r w:rsidR="00076463" w:rsidRPr="00076463">
          <w:rPr>
            <w:rStyle w:val="Hyperlink"/>
            <w:noProof/>
            <w:sz w:val="24"/>
            <w:szCs w:val="24"/>
            <w:lang w:eastAsia="en-GB"/>
          </w:rPr>
          <w:t>Triaging and Testing for Acute Respiratory Viral Infection</w:t>
        </w:r>
        <w:r w:rsidR="00076463" w:rsidRPr="00076463">
          <w:rPr>
            <w:noProof/>
            <w:webHidden/>
            <w:sz w:val="24"/>
            <w:szCs w:val="24"/>
          </w:rPr>
          <w:tab/>
        </w:r>
        <w:r w:rsidR="000F661D">
          <w:rPr>
            <w:noProof/>
            <w:webHidden/>
            <w:sz w:val="24"/>
            <w:szCs w:val="24"/>
          </w:rPr>
          <w:t>6</w:t>
        </w:r>
      </w:hyperlink>
    </w:p>
    <w:p w14:paraId="53389857" w14:textId="6A1B9142" w:rsidR="00076463" w:rsidRPr="00076463" w:rsidRDefault="00FD2B12">
      <w:pPr>
        <w:pStyle w:val="TOC2"/>
        <w:tabs>
          <w:tab w:val="left" w:pos="880"/>
          <w:tab w:val="right" w:leader="dot" w:pos="9016"/>
        </w:tabs>
        <w:rPr>
          <w:rFonts w:asciiTheme="minorHAnsi" w:eastAsiaTheme="minorEastAsia" w:hAnsiTheme="minorHAnsi" w:cstheme="minorBidi"/>
          <w:i w:val="0"/>
          <w:iCs w:val="0"/>
          <w:noProof/>
          <w:sz w:val="24"/>
          <w:szCs w:val="24"/>
          <w:lang w:eastAsia="en-GB"/>
        </w:rPr>
      </w:pPr>
      <w:hyperlink w:anchor="_Toc124166185" w:history="1">
        <w:r w:rsidR="00076463" w:rsidRPr="00076463">
          <w:rPr>
            <w:rStyle w:val="Hyperlink"/>
            <w:noProof/>
            <w:sz w:val="24"/>
            <w:szCs w:val="24"/>
            <w:lang w:eastAsia="en-GB"/>
          </w:rPr>
          <w:t>3.1.</w:t>
        </w:r>
        <w:r w:rsidR="00076463" w:rsidRPr="00076463">
          <w:rPr>
            <w:rFonts w:asciiTheme="minorHAnsi" w:eastAsiaTheme="minorEastAsia" w:hAnsiTheme="minorHAnsi" w:cstheme="minorBidi"/>
            <w:i w:val="0"/>
            <w:iCs w:val="0"/>
            <w:noProof/>
            <w:sz w:val="24"/>
            <w:szCs w:val="24"/>
            <w:lang w:eastAsia="en-GB"/>
          </w:rPr>
          <w:tab/>
        </w:r>
        <w:r w:rsidR="00076463" w:rsidRPr="00076463">
          <w:rPr>
            <w:rStyle w:val="Hyperlink"/>
            <w:noProof/>
            <w:sz w:val="24"/>
            <w:szCs w:val="24"/>
            <w:lang w:eastAsia="en-GB"/>
          </w:rPr>
          <w:t>Triaging/assessment of infection risk</w:t>
        </w:r>
        <w:r w:rsidR="00076463" w:rsidRPr="00076463">
          <w:rPr>
            <w:noProof/>
            <w:webHidden/>
            <w:sz w:val="24"/>
            <w:szCs w:val="24"/>
          </w:rPr>
          <w:tab/>
        </w:r>
        <w:r w:rsidR="000F661D">
          <w:rPr>
            <w:noProof/>
            <w:webHidden/>
            <w:sz w:val="24"/>
            <w:szCs w:val="24"/>
          </w:rPr>
          <w:t>6</w:t>
        </w:r>
      </w:hyperlink>
    </w:p>
    <w:p w14:paraId="3D391DFE" w14:textId="312DA08A" w:rsidR="00076463" w:rsidRPr="00076463" w:rsidRDefault="00FD2B12">
      <w:pPr>
        <w:pStyle w:val="TOC2"/>
        <w:tabs>
          <w:tab w:val="left" w:pos="880"/>
          <w:tab w:val="right" w:leader="dot" w:pos="9016"/>
        </w:tabs>
        <w:rPr>
          <w:rFonts w:asciiTheme="minorHAnsi" w:eastAsiaTheme="minorEastAsia" w:hAnsiTheme="minorHAnsi" w:cstheme="minorBidi"/>
          <w:i w:val="0"/>
          <w:iCs w:val="0"/>
          <w:noProof/>
          <w:sz w:val="24"/>
          <w:szCs w:val="24"/>
          <w:lang w:eastAsia="en-GB"/>
        </w:rPr>
      </w:pPr>
      <w:hyperlink w:anchor="_Toc124166186" w:history="1">
        <w:r w:rsidR="00076463" w:rsidRPr="00076463">
          <w:rPr>
            <w:rStyle w:val="Hyperlink"/>
            <w:noProof/>
            <w:sz w:val="24"/>
            <w:szCs w:val="24"/>
            <w:lang w:eastAsia="en-GB"/>
          </w:rPr>
          <w:t>3.2.</w:t>
        </w:r>
        <w:r w:rsidR="00076463" w:rsidRPr="00076463">
          <w:rPr>
            <w:rFonts w:asciiTheme="minorHAnsi" w:eastAsiaTheme="minorEastAsia" w:hAnsiTheme="minorHAnsi" w:cstheme="minorBidi"/>
            <w:i w:val="0"/>
            <w:iCs w:val="0"/>
            <w:noProof/>
            <w:sz w:val="24"/>
            <w:szCs w:val="24"/>
            <w:lang w:eastAsia="en-GB"/>
          </w:rPr>
          <w:tab/>
        </w:r>
        <w:r w:rsidR="00076463" w:rsidRPr="00076463">
          <w:rPr>
            <w:rStyle w:val="Hyperlink"/>
            <w:noProof/>
            <w:sz w:val="24"/>
            <w:szCs w:val="24"/>
            <w:lang w:eastAsia="en-GB"/>
          </w:rPr>
          <w:t>Testing</w:t>
        </w:r>
        <w:r w:rsidR="00076463" w:rsidRPr="00076463">
          <w:rPr>
            <w:noProof/>
            <w:webHidden/>
            <w:sz w:val="24"/>
            <w:szCs w:val="24"/>
          </w:rPr>
          <w:tab/>
        </w:r>
        <w:r w:rsidR="000F661D">
          <w:rPr>
            <w:noProof/>
            <w:webHidden/>
            <w:sz w:val="24"/>
            <w:szCs w:val="24"/>
          </w:rPr>
          <w:t>6</w:t>
        </w:r>
      </w:hyperlink>
    </w:p>
    <w:p w14:paraId="534071B0" w14:textId="0DAB1CAE" w:rsidR="00076463" w:rsidRPr="00076463" w:rsidRDefault="00FD2B12">
      <w:pPr>
        <w:pStyle w:val="TOC2"/>
        <w:tabs>
          <w:tab w:val="left" w:pos="880"/>
          <w:tab w:val="right" w:leader="dot" w:pos="9016"/>
        </w:tabs>
        <w:rPr>
          <w:rFonts w:asciiTheme="minorHAnsi" w:eastAsiaTheme="minorEastAsia" w:hAnsiTheme="minorHAnsi" w:cstheme="minorBidi"/>
          <w:i w:val="0"/>
          <w:iCs w:val="0"/>
          <w:noProof/>
          <w:sz w:val="24"/>
          <w:szCs w:val="24"/>
          <w:lang w:eastAsia="en-GB"/>
        </w:rPr>
      </w:pPr>
      <w:hyperlink w:anchor="_Toc124166187" w:history="1">
        <w:r w:rsidR="00076463" w:rsidRPr="00076463">
          <w:rPr>
            <w:rStyle w:val="Hyperlink"/>
            <w:noProof/>
            <w:sz w:val="24"/>
            <w:szCs w:val="24"/>
            <w:lang w:eastAsia="en-GB"/>
          </w:rPr>
          <w:t>3.3.</w:t>
        </w:r>
        <w:r w:rsidR="00076463" w:rsidRPr="00076463">
          <w:rPr>
            <w:rFonts w:asciiTheme="minorHAnsi" w:eastAsiaTheme="minorEastAsia" w:hAnsiTheme="minorHAnsi" w:cstheme="minorBidi"/>
            <w:i w:val="0"/>
            <w:iCs w:val="0"/>
            <w:noProof/>
            <w:sz w:val="24"/>
            <w:szCs w:val="24"/>
            <w:lang w:eastAsia="en-GB"/>
          </w:rPr>
          <w:tab/>
        </w:r>
        <w:r w:rsidR="00076463" w:rsidRPr="00076463">
          <w:rPr>
            <w:rStyle w:val="Hyperlink"/>
            <w:noProof/>
            <w:sz w:val="24"/>
            <w:szCs w:val="24"/>
            <w:lang w:eastAsia="en-GB"/>
          </w:rPr>
          <w:t>Cohorting</w:t>
        </w:r>
        <w:r w:rsidR="00076463" w:rsidRPr="00076463">
          <w:rPr>
            <w:noProof/>
            <w:webHidden/>
            <w:sz w:val="24"/>
            <w:szCs w:val="24"/>
          </w:rPr>
          <w:tab/>
        </w:r>
        <w:r w:rsidR="00076463" w:rsidRPr="00076463">
          <w:rPr>
            <w:noProof/>
            <w:webHidden/>
            <w:sz w:val="24"/>
            <w:szCs w:val="24"/>
          </w:rPr>
          <w:fldChar w:fldCharType="begin"/>
        </w:r>
        <w:r w:rsidR="00076463" w:rsidRPr="00076463">
          <w:rPr>
            <w:noProof/>
            <w:webHidden/>
            <w:sz w:val="24"/>
            <w:szCs w:val="24"/>
          </w:rPr>
          <w:instrText xml:space="preserve"> PAGEREF _Toc124166187 \h </w:instrText>
        </w:r>
        <w:r w:rsidR="00076463" w:rsidRPr="00076463">
          <w:rPr>
            <w:noProof/>
            <w:webHidden/>
            <w:sz w:val="24"/>
            <w:szCs w:val="24"/>
          </w:rPr>
        </w:r>
        <w:r w:rsidR="00076463" w:rsidRPr="00076463">
          <w:rPr>
            <w:noProof/>
            <w:webHidden/>
            <w:sz w:val="24"/>
            <w:szCs w:val="24"/>
          </w:rPr>
          <w:fldChar w:fldCharType="separate"/>
        </w:r>
        <w:r w:rsidR="00C22496">
          <w:rPr>
            <w:noProof/>
            <w:webHidden/>
            <w:sz w:val="24"/>
            <w:szCs w:val="24"/>
          </w:rPr>
          <w:t>6</w:t>
        </w:r>
        <w:r w:rsidR="00076463" w:rsidRPr="00076463">
          <w:rPr>
            <w:noProof/>
            <w:webHidden/>
            <w:sz w:val="24"/>
            <w:szCs w:val="24"/>
          </w:rPr>
          <w:fldChar w:fldCharType="end"/>
        </w:r>
      </w:hyperlink>
    </w:p>
    <w:p w14:paraId="4E9B2F50" w14:textId="2ABD7199" w:rsidR="00076463" w:rsidRPr="00076463" w:rsidRDefault="00FD2B12">
      <w:pPr>
        <w:pStyle w:val="TOC1"/>
        <w:tabs>
          <w:tab w:val="left" w:pos="440"/>
          <w:tab w:val="right" w:leader="dot" w:pos="9016"/>
        </w:tabs>
        <w:rPr>
          <w:rFonts w:asciiTheme="minorHAnsi" w:eastAsiaTheme="minorEastAsia" w:hAnsiTheme="minorHAnsi" w:cstheme="minorBidi"/>
          <w:b w:val="0"/>
          <w:bCs w:val="0"/>
          <w:noProof/>
          <w:sz w:val="24"/>
          <w:szCs w:val="24"/>
          <w:lang w:eastAsia="en-GB"/>
        </w:rPr>
      </w:pPr>
      <w:hyperlink w:anchor="_Toc124166190" w:history="1">
        <w:r w:rsidR="00076463" w:rsidRPr="00076463">
          <w:rPr>
            <w:rStyle w:val="Hyperlink"/>
            <w:noProof/>
            <w:sz w:val="24"/>
            <w:szCs w:val="24"/>
            <w14:scene3d>
              <w14:camera w14:prst="orthographicFront"/>
              <w14:lightRig w14:rig="threePt" w14:dir="t">
                <w14:rot w14:lat="0" w14:lon="0" w14:rev="0"/>
              </w14:lightRig>
            </w14:scene3d>
          </w:rPr>
          <w:t>4.</w:t>
        </w:r>
        <w:r w:rsidR="00076463" w:rsidRPr="00076463">
          <w:rPr>
            <w:rFonts w:asciiTheme="minorHAnsi" w:eastAsiaTheme="minorEastAsia" w:hAnsiTheme="minorHAnsi" w:cstheme="minorBidi"/>
            <w:b w:val="0"/>
            <w:bCs w:val="0"/>
            <w:noProof/>
            <w:sz w:val="24"/>
            <w:szCs w:val="24"/>
            <w:lang w:eastAsia="en-GB"/>
          </w:rPr>
          <w:tab/>
        </w:r>
        <w:r w:rsidR="00076463" w:rsidRPr="00076463">
          <w:rPr>
            <w:rStyle w:val="Hyperlink"/>
            <w:noProof/>
            <w:sz w:val="24"/>
            <w:szCs w:val="24"/>
          </w:rPr>
          <w:t>Additional Infection Prevention and Control Measures for ARI in healthcare settings</w:t>
        </w:r>
        <w:r w:rsidR="00076463" w:rsidRPr="00076463">
          <w:rPr>
            <w:noProof/>
            <w:webHidden/>
            <w:sz w:val="24"/>
            <w:szCs w:val="24"/>
          </w:rPr>
          <w:tab/>
        </w:r>
        <w:r w:rsidR="00076463" w:rsidRPr="00076463">
          <w:rPr>
            <w:noProof/>
            <w:webHidden/>
            <w:sz w:val="24"/>
            <w:szCs w:val="24"/>
          </w:rPr>
          <w:fldChar w:fldCharType="begin"/>
        </w:r>
        <w:r w:rsidR="00076463" w:rsidRPr="00076463">
          <w:rPr>
            <w:noProof/>
            <w:webHidden/>
            <w:sz w:val="24"/>
            <w:szCs w:val="24"/>
          </w:rPr>
          <w:instrText xml:space="preserve"> PAGEREF _Toc124166190 \h </w:instrText>
        </w:r>
        <w:r w:rsidR="00076463" w:rsidRPr="00076463">
          <w:rPr>
            <w:noProof/>
            <w:webHidden/>
            <w:sz w:val="24"/>
            <w:szCs w:val="24"/>
          </w:rPr>
        </w:r>
        <w:r w:rsidR="00076463" w:rsidRPr="00076463">
          <w:rPr>
            <w:noProof/>
            <w:webHidden/>
            <w:sz w:val="24"/>
            <w:szCs w:val="24"/>
          </w:rPr>
          <w:fldChar w:fldCharType="separate"/>
        </w:r>
        <w:r w:rsidR="00C22496">
          <w:rPr>
            <w:noProof/>
            <w:webHidden/>
            <w:sz w:val="24"/>
            <w:szCs w:val="24"/>
          </w:rPr>
          <w:t>6</w:t>
        </w:r>
        <w:r w:rsidR="00076463" w:rsidRPr="00076463">
          <w:rPr>
            <w:noProof/>
            <w:webHidden/>
            <w:sz w:val="24"/>
            <w:szCs w:val="24"/>
          </w:rPr>
          <w:fldChar w:fldCharType="end"/>
        </w:r>
      </w:hyperlink>
    </w:p>
    <w:p w14:paraId="3272F85D" w14:textId="6A0A06C8" w:rsidR="00076463" w:rsidRPr="00076463" w:rsidRDefault="00FD2B12">
      <w:pPr>
        <w:pStyle w:val="TOC2"/>
        <w:tabs>
          <w:tab w:val="left" w:pos="880"/>
          <w:tab w:val="right" w:leader="dot" w:pos="9016"/>
        </w:tabs>
        <w:rPr>
          <w:rFonts w:asciiTheme="minorHAnsi" w:eastAsiaTheme="minorEastAsia" w:hAnsiTheme="minorHAnsi" w:cstheme="minorBidi"/>
          <w:i w:val="0"/>
          <w:iCs w:val="0"/>
          <w:noProof/>
          <w:sz w:val="24"/>
          <w:szCs w:val="24"/>
          <w:lang w:eastAsia="en-GB"/>
        </w:rPr>
      </w:pPr>
      <w:hyperlink w:anchor="_Toc124166191" w:history="1">
        <w:r w:rsidR="00076463" w:rsidRPr="00076463">
          <w:rPr>
            <w:rStyle w:val="Hyperlink"/>
            <w:noProof/>
            <w:sz w:val="24"/>
            <w:szCs w:val="24"/>
          </w:rPr>
          <w:t>4.1.</w:t>
        </w:r>
        <w:r w:rsidR="00076463" w:rsidRPr="00076463">
          <w:rPr>
            <w:rFonts w:asciiTheme="minorHAnsi" w:eastAsiaTheme="minorEastAsia" w:hAnsiTheme="minorHAnsi" w:cstheme="minorBidi"/>
            <w:i w:val="0"/>
            <w:iCs w:val="0"/>
            <w:noProof/>
            <w:sz w:val="24"/>
            <w:szCs w:val="24"/>
            <w:lang w:eastAsia="en-GB"/>
          </w:rPr>
          <w:tab/>
        </w:r>
        <w:r w:rsidR="00076463" w:rsidRPr="00076463">
          <w:rPr>
            <w:rStyle w:val="Hyperlink"/>
            <w:noProof/>
            <w:sz w:val="24"/>
            <w:szCs w:val="24"/>
          </w:rPr>
          <w:t>Source control</w:t>
        </w:r>
        <w:r w:rsidR="00076463" w:rsidRPr="00076463">
          <w:rPr>
            <w:noProof/>
            <w:webHidden/>
            <w:sz w:val="24"/>
            <w:szCs w:val="24"/>
          </w:rPr>
          <w:tab/>
        </w:r>
        <w:r w:rsidR="000F661D">
          <w:rPr>
            <w:noProof/>
            <w:webHidden/>
            <w:sz w:val="24"/>
            <w:szCs w:val="24"/>
          </w:rPr>
          <w:t>7</w:t>
        </w:r>
      </w:hyperlink>
      <w:r w:rsidR="000F661D">
        <w:rPr>
          <w:noProof/>
          <w:sz w:val="24"/>
          <w:szCs w:val="24"/>
        </w:rPr>
        <w:t>/8</w:t>
      </w:r>
    </w:p>
    <w:p w14:paraId="7FAEDBA0" w14:textId="77E7B448" w:rsidR="00076463" w:rsidRPr="00076463" w:rsidRDefault="00FD2B12">
      <w:pPr>
        <w:pStyle w:val="TOC2"/>
        <w:tabs>
          <w:tab w:val="left" w:pos="880"/>
          <w:tab w:val="right" w:leader="dot" w:pos="9016"/>
        </w:tabs>
        <w:rPr>
          <w:rFonts w:asciiTheme="minorHAnsi" w:eastAsiaTheme="minorEastAsia" w:hAnsiTheme="minorHAnsi" w:cstheme="minorBidi"/>
          <w:i w:val="0"/>
          <w:iCs w:val="0"/>
          <w:noProof/>
          <w:sz w:val="24"/>
          <w:szCs w:val="24"/>
          <w:lang w:eastAsia="en-GB"/>
        </w:rPr>
      </w:pPr>
      <w:hyperlink w:anchor="_Toc124166192" w:history="1">
        <w:r w:rsidR="00076463" w:rsidRPr="00076463">
          <w:rPr>
            <w:rStyle w:val="Hyperlink"/>
            <w:noProof/>
            <w:sz w:val="24"/>
            <w:szCs w:val="24"/>
          </w:rPr>
          <w:t>4.2.</w:t>
        </w:r>
        <w:r w:rsidR="00076463" w:rsidRPr="00076463">
          <w:rPr>
            <w:rFonts w:asciiTheme="minorHAnsi" w:eastAsiaTheme="minorEastAsia" w:hAnsiTheme="minorHAnsi" w:cstheme="minorBidi"/>
            <w:i w:val="0"/>
            <w:iCs w:val="0"/>
            <w:noProof/>
            <w:sz w:val="24"/>
            <w:szCs w:val="24"/>
            <w:lang w:eastAsia="en-GB"/>
          </w:rPr>
          <w:tab/>
        </w:r>
        <w:r w:rsidR="00076463" w:rsidRPr="00076463">
          <w:rPr>
            <w:rStyle w:val="Hyperlink"/>
            <w:noProof/>
            <w:sz w:val="24"/>
            <w:szCs w:val="24"/>
          </w:rPr>
          <w:t>Duration of precautions</w:t>
        </w:r>
        <w:r w:rsidR="00076463" w:rsidRPr="00076463">
          <w:rPr>
            <w:noProof/>
            <w:webHidden/>
            <w:sz w:val="24"/>
            <w:szCs w:val="24"/>
          </w:rPr>
          <w:tab/>
        </w:r>
        <w:r w:rsidR="000F661D">
          <w:rPr>
            <w:noProof/>
            <w:webHidden/>
            <w:sz w:val="24"/>
            <w:szCs w:val="24"/>
          </w:rPr>
          <w:t>9</w:t>
        </w:r>
      </w:hyperlink>
    </w:p>
    <w:p w14:paraId="722C9324" w14:textId="78C55109" w:rsidR="00076463" w:rsidRPr="00076463" w:rsidRDefault="00FD2B12">
      <w:pPr>
        <w:pStyle w:val="TOC3"/>
        <w:tabs>
          <w:tab w:val="left" w:pos="1320"/>
          <w:tab w:val="right" w:leader="dot" w:pos="9016"/>
        </w:tabs>
        <w:rPr>
          <w:rFonts w:asciiTheme="minorHAnsi" w:eastAsiaTheme="minorEastAsia" w:hAnsiTheme="minorHAnsi" w:cstheme="minorBidi"/>
          <w:noProof/>
          <w:sz w:val="24"/>
          <w:szCs w:val="24"/>
          <w:lang w:eastAsia="en-GB"/>
        </w:rPr>
      </w:pPr>
      <w:hyperlink w:anchor="_Toc124166193" w:history="1">
        <w:r w:rsidR="00076463" w:rsidRPr="00076463">
          <w:rPr>
            <w:rStyle w:val="Hyperlink"/>
            <w:noProof/>
            <w:sz w:val="24"/>
            <w:szCs w:val="24"/>
          </w:rPr>
          <w:t>4.2.1.</w:t>
        </w:r>
        <w:r w:rsidR="00076463" w:rsidRPr="00076463">
          <w:rPr>
            <w:rFonts w:asciiTheme="minorHAnsi" w:eastAsiaTheme="minorEastAsia" w:hAnsiTheme="minorHAnsi" w:cstheme="minorBidi"/>
            <w:noProof/>
            <w:sz w:val="24"/>
            <w:szCs w:val="24"/>
            <w:lang w:eastAsia="en-GB"/>
          </w:rPr>
          <w:tab/>
        </w:r>
        <w:r w:rsidR="00076463" w:rsidRPr="00076463">
          <w:rPr>
            <w:rStyle w:val="Hyperlink"/>
            <w:noProof/>
            <w:sz w:val="24"/>
            <w:szCs w:val="24"/>
          </w:rPr>
          <w:t>Stepping down precautions if the patient is staying in hospital</w:t>
        </w:r>
        <w:r w:rsidR="00076463" w:rsidRPr="00076463">
          <w:rPr>
            <w:noProof/>
            <w:webHidden/>
            <w:sz w:val="24"/>
            <w:szCs w:val="24"/>
          </w:rPr>
          <w:tab/>
        </w:r>
        <w:r w:rsidR="000F661D">
          <w:rPr>
            <w:noProof/>
            <w:webHidden/>
            <w:sz w:val="24"/>
            <w:szCs w:val="24"/>
          </w:rPr>
          <w:t>9</w:t>
        </w:r>
      </w:hyperlink>
    </w:p>
    <w:p w14:paraId="0D6B0375" w14:textId="07331F69" w:rsidR="00076463" w:rsidRPr="00076463" w:rsidRDefault="00FD2B12">
      <w:pPr>
        <w:pStyle w:val="TOC3"/>
        <w:tabs>
          <w:tab w:val="left" w:pos="1320"/>
          <w:tab w:val="right" w:leader="dot" w:pos="9016"/>
        </w:tabs>
        <w:rPr>
          <w:rFonts w:asciiTheme="minorHAnsi" w:eastAsiaTheme="minorEastAsia" w:hAnsiTheme="minorHAnsi" w:cstheme="minorBidi"/>
          <w:noProof/>
          <w:sz w:val="24"/>
          <w:szCs w:val="24"/>
          <w:lang w:eastAsia="en-GB"/>
        </w:rPr>
      </w:pPr>
      <w:hyperlink w:anchor="_Toc124166198" w:history="1">
        <w:r w:rsidR="00076463" w:rsidRPr="00076463">
          <w:rPr>
            <w:rStyle w:val="Hyperlink"/>
            <w:noProof/>
            <w:sz w:val="24"/>
            <w:szCs w:val="24"/>
          </w:rPr>
          <w:t>4.2.2.</w:t>
        </w:r>
        <w:r w:rsidR="00076463" w:rsidRPr="00076463">
          <w:rPr>
            <w:rFonts w:asciiTheme="minorHAnsi" w:eastAsiaTheme="minorEastAsia" w:hAnsiTheme="minorHAnsi" w:cstheme="minorBidi"/>
            <w:noProof/>
            <w:sz w:val="24"/>
            <w:szCs w:val="24"/>
            <w:lang w:eastAsia="en-GB"/>
          </w:rPr>
          <w:tab/>
        </w:r>
        <w:r w:rsidR="00076463" w:rsidRPr="00076463">
          <w:rPr>
            <w:rStyle w:val="Hyperlink"/>
            <w:noProof/>
            <w:sz w:val="24"/>
            <w:szCs w:val="24"/>
          </w:rPr>
          <w:t>Severely immunocompromised patients</w:t>
        </w:r>
        <w:r w:rsidR="00076463" w:rsidRPr="00076463">
          <w:rPr>
            <w:noProof/>
            <w:webHidden/>
            <w:sz w:val="24"/>
            <w:szCs w:val="24"/>
          </w:rPr>
          <w:tab/>
        </w:r>
        <w:r w:rsidR="000F661D">
          <w:rPr>
            <w:noProof/>
            <w:webHidden/>
            <w:sz w:val="24"/>
            <w:szCs w:val="24"/>
          </w:rPr>
          <w:t>10</w:t>
        </w:r>
      </w:hyperlink>
    </w:p>
    <w:p w14:paraId="5D7062DD" w14:textId="4E9D0977" w:rsidR="00076463" w:rsidRPr="00076463" w:rsidRDefault="00FD2B12">
      <w:pPr>
        <w:pStyle w:val="TOC3"/>
        <w:tabs>
          <w:tab w:val="left" w:pos="1320"/>
          <w:tab w:val="right" w:leader="dot" w:pos="9016"/>
        </w:tabs>
        <w:rPr>
          <w:rFonts w:asciiTheme="minorHAnsi" w:eastAsiaTheme="minorEastAsia" w:hAnsiTheme="minorHAnsi" w:cstheme="minorBidi"/>
          <w:noProof/>
          <w:sz w:val="24"/>
          <w:szCs w:val="24"/>
          <w:lang w:eastAsia="en-GB"/>
        </w:rPr>
      </w:pPr>
      <w:hyperlink w:anchor="_Toc124166199" w:history="1">
        <w:r w:rsidR="00076463" w:rsidRPr="00076463">
          <w:rPr>
            <w:rStyle w:val="Hyperlink"/>
            <w:noProof/>
            <w:sz w:val="24"/>
            <w:szCs w:val="24"/>
          </w:rPr>
          <w:t>4.2.3.</w:t>
        </w:r>
        <w:r w:rsidR="00076463" w:rsidRPr="00076463">
          <w:rPr>
            <w:rFonts w:asciiTheme="minorHAnsi" w:eastAsiaTheme="minorEastAsia" w:hAnsiTheme="minorHAnsi" w:cstheme="minorBidi"/>
            <w:noProof/>
            <w:sz w:val="24"/>
            <w:szCs w:val="24"/>
            <w:lang w:eastAsia="en-GB"/>
          </w:rPr>
          <w:tab/>
        </w:r>
        <w:r w:rsidR="00076463" w:rsidRPr="00076463">
          <w:rPr>
            <w:rStyle w:val="Hyperlink"/>
            <w:noProof/>
            <w:sz w:val="24"/>
            <w:szCs w:val="24"/>
          </w:rPr>
          <w:t>Outpatients/primary care</w:t>
        </w:r>
        <w:r w:rsidR="00076463" w:rsidRPr="00076463">
          <w:rPr>
            <w:noProof/>
            <w:webHidden/>
            <w:sz w:val="24"/>
            <w:szCs w:val="24"/>
          </w:rPr>
          <w:tab/>
        </w:r>
        <w:r w:rsidR="000F661D">
          <w:rPr>
            <w:noProof/>
            <w:webHidden/>
            <w:sz w:val="24"/>
            <w:szCs w:val="24"/>
          </w:rPr>
          <w:t>10</w:t>
        </w:r>
      </w:hyperlink>
    </w:p>
    <w:p w14:paraId="3B8D9D70" w14:textId="64379A3D" w:rsidR="00076463" w:rsidRPr="00076463" w:rsidRDefault="00FD2B12">
      <w:pPr>
        <w:pStyle w:val="TOC3"/>
        <w:tabs>
          <w:tab w:val="left" w:pos="1320"/>
          <w:tab w:val="right" w:leader="dot" w:pos="9016"/>
        </w:tabs>
        <w:rPr>
          <w:rFonts w:asciiTheme="minorHAnsi" w:eastAsiaTheme="minorEastAsia" w:hAnsiTheme="minorHAnsi" w:cstheme="minorBidi"/>
          <w:noProof/>
          <w:sz w:val="24"/>
          <w:szCs w:val="24"/>
          <w:lang w:eastAsia="en-GB"/>
        </w:rPr>
      </w:pPr>
      <w:hyperlink w:anchor="_Toc124166200" w:history="1">
        <w:r w:rsidR="00076463" w:rsidRPr="00076463">
          <w:rPr>
            <w:rStyle w:val="Hyperlink"/>
            <w:noProof/>
            <w:sz w:val="24"/>
            <w:szCs w:val="24"/>
          </w:rPr>
          <w:t>4.2.4.</w:t>
        </w:r>
        <w:r w:rsidR="00076463" w:rsidRPr="00076463">
          <w:rPr>
            <w:rFonts w:asciiTheme="minorHAnsi" w:eastAsiaTheme="minorEastAsia" w:hAnsiTheme="minorHAnsi" w:cstheme="minorBidi"/>
            <w:noProof/>
            <w:sz w:val="24"/>
            <w:szCs w:val="24"/>
            <w:lang w:eastAsia="en-GB"/>
          </w:rPr>
          <w:tab/>
        </w:r>
        <w:r w:rsidR="00076463" w:rsidRPr="00076463">
          <w:rPr>
            <w:rStyle w:val="Hyperlink"/>
            <w:noProof/>
            <w:sz w:val="24"/>
            <w:szCs w:val="24"/>
          </w:rPr>
          <w:t>Care home or other non-acute healthcare settings</w:t>
        </w:r>
        <w:r w:rsidR="00076463" w:rsidRPr="00076463">
          <w:rPr>
            <w:noProof/>
            <w:webHidden/>
            <w:sz w:val="24"/>
            <w:szCs w:val="24"/>
          </w:rPr>
          <w:tab/>
        </w:r>
        <w:r w:rsidR="00076463" w:rsidRPr="00076463">
          <w:rPr>
            <w:noProof/>
            <w:webHidden/>
            <w:sz w:val="24"/>
            <w:szCs w:val="24"/>
          </w:rPr>
          <w:fldChar w:fldCharType="begin"/>
        </w:r>
        <w:r w:rsidR="00076463" w:rsidRPr="00076463">
          <w:rPr>
            <w:noProof/>
            <w:webHidden/>
            <w:sz w:val="24"/>
            <w:szCs w:val="24"/>
          </w:rPr>
          <w:instrText xml:space="preserve"> PAGEREF _Toc124166200 \h </w:instrText>
        </w:r>
        <w:r w:rsidR="00076463" w:rsidRPr="00076463">
          <w:rPr>
            <w:noProof/>
            <w:webHidden/>
            <w:sz w:val="24"/>
            <w:szCs w:val="24"/>
          </w:rPr>
        </w:r>
        <w:r w:rsidR="00076463" w:rsidRPr="00076463">
          <w:rPr>
            <w:noProof/>
            <w:webHidden/>
            <w:sz w:val="24"/>
            <w:szCs w:val="24"/>
          </w:rPr>
          <w:fldChar w:fldCharType="separate"/>
        </w:r>
        <w:r w:rsidR="00C22496">
          <w:rPr>
            <w:noProof/>
            <w:webHidden/>
            <w:sz w:val="24"/>
            <w:szCs w:val="24"/>
          </w:rPr>
          <w:t>10</w:t>
        </w:r>
        <w:r w:rsidR="00076463" w:rsidRPr="00076463">
          <w:rPr>
            <w:noProof/>
            <w:webHidden/>
            <w:sz w:val="24"/>
            <w:szCs w:val="24"/>
          </w:rPr>
          <w:fldChar w:fldCharType="end"/>
        </w:r>
      </w:hyperlink>
    </w:p>
    <w:p w14:paraId="4E465D7D" w14:textId="0114A1CB" w:rsidR="00076463" w:rsidRPr="00076463" w:rsidRDefault="00FD2B12">
      <w:pPr>
        <w:pStyle w:val="TOC1"/>
        <w:tabs>
          <w:tab w:val="left" w:pos="440"/>
          <w:tab w:val="right" w:leader="dot" w:pos="9016"/>
        </w:tabs>
        <w:rPr>
          <w:rFonts w:asciiTheme="minorHAnsi" w:eastAsiaTheme="minorEastAsia" w:hAnsiTheme="minorHAnsi" w:cstheme="minorBidi"/>
          <w:b w:val="0"/>
          <w:bCs w:val="0"/>
          <w:noProof/>
          <w:sz w:val="24"/>
          <w:szCs w:val="24"/>
          <w:lang w:eastAsia="en-GB"/>
        </w:rPr>
      </w:pPr>
      <w:hyperlink w:anchor="_Toc124166202" w:history="1">
        <w:r w:rsidR="00076463" w:rsidRPr="00076463">
          <w:rPr>
            <w:rStyle w:val="Hyperlink"/>
            <w:noProof/>
            <w:sz w:val="24"/>
            <w:szCs w:val="24"/>
            <w14:scene3d>
              <w14:camera w14:prst="orthographicFront"/>
              <w14:lightRig w14:rig="threePt" w14:dir="t">
                <w14:rot w14:lat="0" w14:lon="0" w14:rev="0"/>
              </w14:lightRig>
            </w14:scene3d>
          </w:rPr>
          <w:t>5.</w:t>
        </w:r>
        <w:r w:rsidR="00076463" w:rsidRPr="00076463">
          <w:rPr>
            <w:rFonts w:asciiTheme="minorHAnsi" w:eastAsiaTheme="minorEastAsia" w:hAnsiTheme="minorHAnsi" w:cstheme="minorBidi"/>
            <w:b w:val="0"/>
            <w:bCs w:val="0"/>
            <w:noProof/>
            <w:sz w:val="24"/>
            <w:szCs w:val="24"/>
            <w:lang w:eastAsia="en-GB"/>
          </w:rPr>
          <w:tab/>
        </w:r>
        <w:r w:rsidR="00076463" w:rsidRPr="00076463">
          <w:rPr>
            <w:rStyle w:val="Hyperlink"/>
            <w:noProof/>
            <w:sz w:val="24"/>
            <w:szCs w:val="24"/>
          </w:rPr>
          <w:t>Surveillance and monitoring/outbreak management/reporting</w:t>
        </w:r>
        <w:r w:rsidR="00076463" w:rsidRPr="00076463">
          <w:rPr>
            <w:noProof/>
            <w:webHidden/>
            <w:sz w:val="24"/>
            <w:szCs w:val="24"/>
          </w:rPr>
          <w:tab/>
        </w:r>
        <w:r w:rsidR="000F661D">
          <w:rPr>
            <w:noProof/>
            <w:webHidden/>
            <w:sz w:val="24"/>
            <w:szCs w:val="24"/>
          </w:rPr>
          <w:t>12</w:t>
        </w:r>
      </w:hyperlink>
    </w:p>
    <w:p w14:paraId="7C7D64D7" w14:textId="1077B46C" w:rsidR="00076463" w:rsidRPr="00076463" w:rsidRDefault="00FD2B12">
      <w:pPr>
        <w:pStyle w:val="TOC1"/>
        <w:tabs>
          <w:tab w:val="left" w:pos="440"/>
          <w:tab w:val="right" w:leader="dot" w:pos="9016"/>
        </w:tabs>
        <w:rPr>
          <w:rFonts w:asciiTheme="minorHAnsi" w:eastAsiaTheme="minorEastAsia" w:hAnsiTheme="minorHAnsi" w:cstheme="minorBidi"/>
          <w:b w:val="0"/>
          <w:bCs w:val="0"/>
          <w:noProof/>
          <w:sz w:val="24"/>
          <w:szCs w:val="24"/>
          <w:lang w:eastAsia="en-GB"/>
        </w:rPr>
      </w:pPr>
      <w:hyperlink w:anchor="_Toc124166203" w:history="1">
        <w:r w:rsidR="00076463" w:rsidRPr="00076463">
          <w:rPr>
            <w:rStyle w:val="Hyperlink"/>
            <w:noProof/>
            <w:sz w:val="24"/>
            <w:szCs w:val="24"/>
            <w14:scene3d>
              <w14:camera w14:prst="orthographicFront"/>
              <w14:lightRig w14:rig="threePt" w14:dir="t">
                <w14:rot w14:lat="0" w14:lon="0" w14:rev="0"/>
              </w14:lightRig>
            </w14:scene3d>
          </w:rPr>
          <w:t>6.</w:t>
        </w:r>
        <w:r w:rsidR="00076463" w:rsidRPr="00076463">
          <w:rPr>
            <w:rFonts w:asciiTheme="minorHAnsi" w:eastAsiaTheme="minorEastAsia" w:hAnsiTheme="minorHAnsi" w:cstheme="minorBidi"/>
            <w:b w:val="0"/>
            <w:bCs w:val="0"/>
            <w:noProof/>
            <w:sz w:val="24"/>
            <w:szCs w:val="24"/>
            <w:lang w:eastAsia="en-GB"/>
          </w:rPr>
          <w:tab/>
        </w:r>
        <w:r w:rsidR="00076463" w:rsidRPr="00076463">
          <w:rPr>
            <w:rStyle w:val="Hyperlink"/>
            <w:noProof/>
            <w:sz w:val="24"/>
            <w:szCs w:val="24"/>
          </w:rPr>
          <w:t>IPC considerations for contacts of cases (inpatients)</w:t>
        </w:r>
        <w:r w:rsidR="00076463" w:rsidRPr="00076463">
          <w:rPr>
            <w:noProof/>
            <w:webHidden/>
            <w:sz w:val="24"/>
            <w:szCs w:val="24"/>
          </w:rPr>
          <w:tab/>
        </w:r>
        <w:r w:rsidR="000F661D">
          <w:rPr>
            <w:noProof/>
            <w:webHidden/>
            <w:sz w:val="24"/>
            <w:szCs w:val="24"/>
          </w:rPr>
          <w:t>12</w:t>
        </w:r>
      </w:hyperlink>
    </w:p>
    <w:p w14:paraId="7192838A" w14:textId="77394BDF" w:rsidR="00076463" w:rsidRPr="00076463" w:rsidRDefault="00FD2B12">
      <w:pPr>
        <w:pStyle w:val="TOC1"/>
        <w:tabs>
          <w:tab w:val="left" w:pos="440"/>
          <w:tab w:val="right" w:leader="dot" w:pos="9016"/>
        </w:tabs>
        <w:rPr>
          <w:rFonts w:asciiTheme="minorHAnsi" w:eastAsiaTheme="minorEastAsia" w:hAnsiTheme="minorHAnsi" w:cstheme="minorBidi"/>
          <w:b w:val="0"/>
          <w:bCs w:val="0"/>
          <w:noProof/>
          <w:sz w:val="24"/>
          <w:szCs w:val="24"/>
          <w:lang w:eastAsia="en-GB"/>
        </w:rPr>
      </w:pPr>
      <w:hyperlink w:anchor="_Toc124166204" w:history="1">
        <w:r w:rsidR="00076463" w:rsidRPr="00076463">
          <w:rPr>
            <w:rStyle w:val="Hyperlink"/>
            <w:noProof/>
            <w:sz w:val="24"/>
            <w:szCs w:val="24"/>
            <w14:scene3d>
              <w14:camera w14:prst="orthographicFront"/>
              <w14:lightRig w14:rig="threePt" w14:dir="t">
                <w14:rot w14:lat="0" w14:lon="0" w14:rev="0"/>
              </w14:lightRig>
            </w14:scene3d>
          </w:rPr>
          <w:t>7.</w:t>
        </w:r>
        <w:r w:rsidR="00076463" w:rsidRPr="00076463">
          <w:rPr>
            <w:rFonts w:asciiTheme="minorHAnsi" w:eastAsiaTheme="minorEastAsia" w:hAnsiTheme="minorHAnsi" w:cstheme="minorBidi"/>
            <w:b w:val="0"/>
            <w:bCs w:val="0"/>
            <w:noProof/>
            <w:sz w:val="24"/>
            <w:szCs w:val="24"/>
            <w:lang w:eastAsia="en-GB"/>
          </w:rPr>
          <w:tab/>
        </w:r>
        <w:r w:rsidR="00076463" w:rsidRPr="00076463">
          <w:rPr>
            <w:rStyle w:val="Hyperlink"/>
            <w:noProof/>
            <w:sz w:val="24"/>
            <w:szCs w:val="24"/>
          </w:rPr>
          <w:t>Occupational health, vaccination and IPC considerations for contacts of cases (staff)</w:t>
        </w:r>
        <w:r w:rsidR="00076463" w:rsidRPr="00076463">
          <w:rPr>
            <w:noProof/>
            <w:webHidden/>
            <w:sz w:val="24"/>
            <w:szCs w:val="24"/>
          </w:rPr>
          <w:tab/>
        </w:r>
        <w:r w:rsidR="000F661D">
          <w:rPr>
            <w:noProof/>
            <w:webHidden/>
            <w:sz w:val="24"/>
            <w:szCs w:val="24"/>
          </w:rPr>
          <w:t>12/13</w:t>
        </w:r>
      </w:hyperlink>
    </w:p>
    <w:p w14:paraId="1CCD33A8" w14:textId="4021F087" w:rsidR="00076463" w:rsidRPr="00076463" w:rsidRDefault="00FD2B12">
      <w:pPr>
        <w:pStyle w:val="TOC1"/>
        <w:tabs>
          <w:tab w:val="right" w:leader="dot" w:pos="9016"/>
        </w:tabs>
        <w:rPr>
          <w:rFonts w:asciiTheme="minorHAnsi" w:eastAsiaTheme="minorEastAsia" w:hAnsiTheme="minorHAnsi" w:cstheme="minorBidi"/>
          <w:b w:val="0"/>
          <w:bCs w:val="0"/>
          <w:noProof/>
          <w:sz w:val="24"/>
          <w:szCs w:val="24"/>
          <w:lang w:eastAsia="en-GB"/>
        </w:rPr>
      </w:pPr>
      <w:hyperlink w:anchor="_Toc124166205" w:history="1">
        <w:r w:rsidR="00076463" w:rsidRPr="00076463">
          <w:rPr>
            <w:rStyle w:val="Hyperlink"/>
            <w:noProof/>
            <w:sz w:val="24"/>
            <w:szCs w:val="24"/>
            <w:shd w:val="clear" w:color="auto" w:fill="FFFFFF"/>
          </w:rPr>
          <w:t xml:space="preserve">Appendix 1: Personal Protective Equipment </w:t>
        </w:r>
        <w:r w:rsidR="00076463" w:rsidRPr="00076463">
          <w:rPr>
            <w:rStyle w:val="Hyperlink"/>
            <w:noProof/>
            <w:sz w:val="24"/>
            <w:szCs w:val="24"/>
          </w:rPr>
          <w:t xml:space="preserve">required while providing direct care for patients with suspected or confirmed Acute Respiratory </w:t>
        </w:r>
        <w:r w:rsidR="00ED2F0D">
          <w:rPr>
            <w:rStyle w:val="Hyperlink"/>
            <w:noProof/>
            <w:sz w:val="24"/>
            <w:szCs w:val="24"/>
          </w:rPr>
          <w:t>I</w:t>
        </w:r>
        <w:r w:rsidR="00471025">
          <w:rPr>
            <w:rStyle w:val="Hyperlink"/>
            <w:noProof/>
            <w:sz w:val="24"/>
            <w:szCs w:val="24"/>
          </w:rPr>
          <w:t>nfection</w:t>
        </w:r>
        <w:r w:rsidR="00076463" w:rsidRPr="00076463">
          <w:rPr>
            <w:noProof/>
            <w:webHidden/>
            <w:sz w:val="24"/>
            <w:szCs w:val="24"/>
          </w:rPr>
          <w:tab/>
        </w:r>
        <w:r w:rsidR="000F661D">
          <w:rPr>
            <w:noProof/>
            <w:webHidden/>
            <w:sz w:val="24"/>
            <w:szCs w:val="24"/>
          </w:rPr>
          <w:t>15</w:t>
        </w:r>
      </w:hyperlink>
    </w:p>
    <w:p w14:paraId="07436483" w14:textId="7E2FF8DA" w:rsidR="00076463" w:rsidRPr="00076463" w:rsidRDefault="00FD2B12">
      <w:pPr>
        <w:pStyle w:val="TOC1"/>
        <w:tabs>
          <w:tab w:val="right" w:leader="dot" w:pos="9016"/>
        </w:tabs>
        <w:rPr>
          <w:rStyle w:val="Hyperlink"/>
          <w:noProof/>
          <w:sz w:val="24"/>
          <w:szCs w:val="24"/>
        </w:rPr>
      </w:pPr>
      <w:hyperlink w:anchor="_Toc124166206" w:history="1">
        <w:r w:rsidR="00076463" w:rsidRPr="00076463">
          <w:rPr>
            <w:rStyle w:val="Hyperlink"/>
            <w:noProof/>
            <w:sz w:val="24"/>
            <w:szCs w:val="24"/>
            <w:shd w:val="clear" w:color="auto" w:fill="FFFFFF"/>
          </w:rPr>
          <w:t>Appendix 2: Aerosol generating procedures</w:t>
        </w:r>
        <w:r w:rsidR="00076463" w:rsidRPr="00076463">
          <w:rPr>
            <w:noProof/>
            <w:webHidden/>
            <w:sz w:val="24"/>
            <w:szCs w:val="24"/>
          </w:rPr>
          <w:tab/>
        </w:r>
        <w:r w:rsidR="000F661D">
          <w:rPr>
            <w:noProof/>
            <w:webHidden/>
            <w:sz w:val="24"/>
            <w:szCs w:val="24"/>
          </w:rPr>
          <w:t>16</w:t>
        </w:r>
      </w:hyperlink>
    </w:p>
    <w:p w14:paraId="635279D5" w14:textId="6E18C9BA" w:rsidR="00076463" w:rsidRDefault="00076463">
      <w:r>
        <w:br w:type="page"/>
      </w:r>
    </w:p>
    <w:p w14:paraId="4C5CC1A3" w14:textId="6E18C9BA" w:rsidR="005C1A4E" w:rsidRPr="003D54A1" w:rsidRDefault="000A1942" w:rsidP="00015F7C">
      <w:pPr>
        <w:pStyle w:val="TOCheading2"/>
        <w:rPr>
          <w:lang w:val="en-GB" w:eastAsia="en-GB"/>
        </w:rPr>
      </w:pPr>
      <w:r w:rsidRPr="003D54A1">
        <w:rPr>
          <w:rFonts w:cs="Arial"/>
          <w:color w:val="FF0000"/>
          <w:szCs w:val="24"/>
          <w:lang w:val="en-GB"/>
        </w:rPr>
        <w:lastRenderedPageBreak/>
        <w:fldChar w:fldCharType="end"/>
      </w:r>
      <w:bookmarkStart w:id="0" w:name="_Toc124166179"/>
      <w:r w:rsidR="005C1A4E" w:rsidRPr="003D54A1">
        <w:rPr>
          <w:lang w:val="en-GB" w:eastAsia="en-GB"/>
        </w:rPr>
        <w:t>Introduction</w:t>
      </w:r>
      <w:bookmarkEnd w:id="0"/>
    </w:p>
    <w:p w14:paraId="3A3ACA5B" w14:textId="67616301" w:rsidR="00416E07" w:rsidRPr="0054035C" w:rsidRDefault="000D037B" w:rsidP="00471025">
      <w:pPr>
        <w:jc w:val="both"/>
        <w:rPr>
          <w:rFonts w:cs="Segoe UI"/>
          <w:szCs w:val="24"/>
          <w:u w:val="single"/>
        </w:rPr>
      </w:pPr>
      <w:r w:rsidRPr="003D54A1">
        <w:rPr>
          <w:lang w:eastAsia="en-GB"/>
        </w:rPr>
        <w:t xml:space="preserve">This guidance is intended to </w:t>
      </w:r>
      <w:r w:rsidR="00BA6B66" w:rsidRPr="003D54A1">
        <w:rPr>
          <w:lang w:eastAsia="en-GB"/>
        </w:rPr>
        <w:t xml:space="preserve">provide </w:t>
      </w:r>
      <w:r w:rsidR="00EA2E72">
        <w:rPr>
          <w:lang w:eastAsia="en-GB"/>
        </w:rPr>
        <w:t>pathogen</w:t>
      </w:r>
      <w:r w:rsidR="00BA6B66" w:rsidRPr="003D54A1">
        <w:rPr>
          <w:lang w:eastAsia="en-GB"/>
        </w:rPr>
        <w:t xml:space="preserve"> specific infection prevention and control measures to </w:t>
      </w:r>
      <w:r w:rsidRPr="003D54A1">
        <w:rPr>
          <w:lang w:eastAsia="en-GB"/>
        </w:rPr>
        <w:t xml:space="preserve">prevent transmission of </w:t>
      </w:r>
      <w:r w:rsidR="0053602A">
        <w:rPr>
          <w:lang w:eastAsia="en-GB"/>
        </w:rPr>
        <w:t xml:space="preserve">viral </w:t>
      </w:r>
      <w:r w:rsidR="00062CD1">
        <w:rPr>
          <w:lang w:eastAsia="en-GB"/>
        </w:rPr>
        <w:t xml:space="preserve">Acute Respiratory Infection (ARI) </w:t>
      </w:r>
      <w:r w:rsidR="00416E07">
        <w:rPr>
          <w:lang w:eastAsia="en-GB"/>
        </w:rPr>
        <w:t>including SARS</w:t>
      </w:r>
      <w:r w:rsidRPr="003D54A1">
        <w:rPr>
          <w:lang w:eastAsia="en-GB"/>
        </w:rPr>
        <w:t>-CoV-2</w:t>
      </w:r>
      <w:r w:rsidR="0053602A">
        <w:rPr>
          <w:lang w:eastAsia="en-GB"/>
        </w:rPr>
        <w:t xml:space="preserve"> </w:t>
      </w:r>
      <w:r w:rsidR="00514479">
        <w:rPr>
          <w:lang w:eastAsia="en-GB"/>
        </w:rPr>
        <w:t xml:space="preserve">(COVID-19) </w:t>
      </w:r>
      <w:r w:rsidR="0053602A">
        <w:rPr>
          <w:lang w:eastAsia="en-GB"/>
        </w:rPr>
        <w:t>and Influ</w:t>
      </w:r>
      <w:r w:rsidR="00416E07">
        <w:rPr>
          <w:lang w:eastAsia="en-GB"/>
        </w:rPr>
        <w:t>enza</w:t>
      </w:r>
      <w:r w:rsidR="00250C27">
        <w:rPr>
          <w:lang w:eastAsia="en-GB"/>
        </w:rPr>
        <w:t xml:space="preserve"> (flu)</w:t>
      </w:r>
      <w:r w:rsidR="009C3DAD">
        <w:rPr>
          <w:lang w:eastAsia="en-GB"/>
        </w:rPr>
        <w:t>. W</w:t>
      </w:r>
      <w:r w:rsidR="005629D7">
        <w:rPr>
          <w:lang w:eastAsia="en-GB"/>
        </w:rPr>
        <w:t xml:space="preserve">hile </w:t>
      </w:r>
      <w:r w:rsidR="00416E07" w:rsidRPr="0054035C">
        <w:rPr>
          <w:rFonts w:cs="Segoe UI"/>
          <w:szCs w:val="24"/>
        </w:rPr>
        <w:t xml:space="preserve">Human metapneumovirus, Respiratory Syncytial Virus (RSV), </w:t>
      </w:r>
      <w:r w:rsidR="003E661C">
        <w:rPr>
          <w:rFonts w:cs="Segoe UI"/>
          <w:szCs w:val="24"/>
        </w:rPr>
        <w:t xml:space="preserve">Human </w:t>
      </w:r>
      <w:r w:rsidR="00416E07" w:rsidRPr="0054035C">
        <w:rPr>
          <w:rFonts w:cs="Segoe UI"/>
          <w:szCs w:val="24"/>
        </w:rPr>
        <w:t xml:space="preserve">parainfluenza and rhinovirus are </w:t>
      </w:r>
      <w:r w:rsidR="00416E07" w:rsidRPr="0054035C">
        <w:rPr>
          <w:rFonts w:cs="Segoe UI"/>
          <w:szCs w:val="24"/>
          <w:u w:val="single"/>
        </w:rPr>
        <w:t>not usually considered to be of public health concern</w:t>
      </w:r>
      <w:r w:rsidR="00EA2E72">
        <w:rPr>
          <w:rFonts w:cs="Segoe UI"/>
          <w:szCs w:val="24"/>
          <w:u w:val="single"/>
        </w:rPr>
        <w:t xml:space="preserve">, they </w:t>
      </w:r>
      <w:r w:rsidR="00416E07">
        <w:rPr>
          <w:rFonts w:cs="Segoe UI"/>
          <w:szCs w:val="24"/>
          <w:u w:val="single"/>
        </w:rPr>
        <w:t>can also spread within healthcare settings</w:t>
      </w:r>
      <w:r w:rsidR="005629D7">
        <w:rPr>
          <w:rFonts w:cs="Segoe UI"/>
          <w:szCs w:val="24"/>
          <w:u w:val="single"/>
        </w:rPr>
        <w:t xml:space="preserve"> in Wales, especially in vulnerable patients</w:t>
      </w:r>
      <w:r w:rsidR="009C3DAD">
        <w:rPr>
          <w:rFonts w:cs="Segoe UI"/>
          <w:szCs w:val="24"/>
          <w:u w:val="single"/>
        </w:rPr>
        <w:t>/residents/service users</w:t>
      </w:r>
      <w:r w:rsidR="00416E07" w:rsidRPr="0054035C">
        <w:rPr>
          <w:rFonts w:cs="Segoe UI"/>
          <w:szCs w:val="24"/>
          <w:u w:val="single"/>
        </w:rPr>
        <w:t>.</w:t>
      </w:r>
    </w:p>
    <w:p w14:paraId="1D7D6EFF" w14:textId="495EADD3" w:rsidR="0003487B" w:rsidRPr="003D54A1" w:rsidRDefault="00736851" w:rsidP="00471025">
      <w:pPr>
        <w:jc w:val="both"/>
        <w:rPr>
          <w:lang w:eastAsia="en-GB"/>
        </w:rPr>
      </w:pPr>
      <w:r w:rsidRPr="003D54A1">
        <w:rPr>
          <w:lang w:eastAsia="en-GB"/>
        </w:rPr>
        <w:t xml:space="preserve">This guidance should be read in conjunction with </w:t>
      </w:r>
      <w:hyperlink r:id="rId14" w:history="1">
        <w:r w:rsidR="00663482" w:rsidRPr="00663482">
          <w:rPr>
            <w:color w:val="0000FF"/>
            <w:u w:val="single"/>
          </w:rPr>
          <w:t>Advice on respiratory viruses including COVID-19 for staff in health and social care, patients and residents in care homes | GOV.WALES</w:t>
        </w:r>
      </w:hyperlink>
      <w:r w:rsidR="00046966" w:rsidRPr="003D54A1">
        <w:rPr>
          <w:lang w:eastAsia="en-GB"/>
        </w:rPr>
        <w:t xml:space="preserve"> </w:t>
      </w:r>
      <w:r w:rsidR="00663482">
        <w:rPr>
          <w:lang w:eastAsia="en-GB"/>
        </w:rPr>
        <w:t xml:space="preserve">and </w:t>
      </w:r>
      <w:hyperlink r:id="rId15" w:history="1">
        <w:r w:rsidR="00046966" w:rsidRPr="00503FC1">
          <w:rPr>
            <w:rStyle w:val="Hyperlink"/>
            <w:color w:val="2F5496" w:themeColor="accent1" w:themeShade="BF"/>
            <w:lang w:eastAsia="en-GB"/>
          </w:rPr>
          <w:t>National Infection Prevention and Control Manual Wales</w:t>
        </w:r>
      </w:hyperlink>
      <w:r w:rsidR="002B60A7" w:rsidRPr="003D54A1">
        <w:rPr>
          <w:lang w:eastAsia="en-GB"/>
        </w:rPr>
        <w:t>,</w:t>
      </w:r>
      <w:r w:rsidR="003562AB" w:rsidRPr="003D54A1">
        <w:rPr>
          <w:lang w:eastAsia="en-GB"/>
        </w:rPr>
        <w:t xml:space="preserve"> </w:t>
      </w:r>
      <w:r w:rsidRPr="003D54A1">
        <w:rPr>
          <w:lang w:eastAsia="en-GB"/>
        </w:rPr>
        <w:t xml:space="preserve">which </w:t>
      </w:r>
      <w:r w:rsidR="003562AB" w:rsidRPr="003D54A1">
        <w:rPr>
          <w:lang w:eastAsia="en-GB"/>
        </w:rPr>
        <w:t>describes the application of S</w:t>
      </w:r>
      <w:r w:rsidR="00294BF8" w:rsidRPr="003D54A1">
        <w:rPr>
          <w:lang w:eastAsia="en-GB"/>
        </w:rPr>
        <w:t>tandard Infection Prevention and Control Precautions (S</w:t>
      </w:r>
      <w:r w:rsidR="003562AB" w:rsidRPr="003D54A1">
        <w:rPr>
          <w:lang w:eastAsia="en-GB"/>
        </w:rPr>
        <w:t>ICPs</w:t>
      </w:r>
      <w:r w:rsidR="00294BF8" w:rsidRPr="003D54A1">
        <w:rPr>
          <w:lang w:eastAsia="en-GB"/>
        </w:rPr>
        <w:t>)</w:t>
      </w:r>
      <w:r w:rsidR="003562AB" w:rsidRPr="003D54A1">
        <w:rPr>
          <w:lang w:eastAsia="en-GB"/>
        </w:rPr>
        <w:t xml:space="preserve"> and </w:t>
      </w:r>
      <w:r w:rsidR="00FD41B9" w:rsidRPr="003D54A1">
        <w:rPr>
          <w:lang w:eastAsia="en-GB"/>
        </w:rPr>
        <w:t>Transmission Based Precautions (</w:t>
      </w:r>
      <w:r w:rsidR="003562AB" w:rsidRPr="003D54A1">
        <w:rPr>
          <w:lang w:eastAsia="en-GB"/>
        </w:rPr>
        <w:t>TBPs</w:t>
      </w:r>
      <w:r w:rsidR="00FD41B9" w:rsidRPr="003D54A1">
        <w:rPr>
          <w:lang w:eastAsia="en-GB"/>
        </w:rPr>
        <w:t>)</w:t>
      </w:r>
      <w:r w:rsidRPr="003D54A1">
        <w:rPr>
          <w:lang w:eastAsia="en-GB"/>
        </w:rPr>
        <w:t>.</w:t>
      </w:r>
    </w:p>
    <w:p w14:paraId="7017EBE0" w14:textId="77777777" w:rsidR="004D6ACC" w:rsidRPr="003D54A1" w:rsidRDefault="004D6ACC" w:rsidP="00471025">
      <w:pPr>
        <w:jc w:val="both"/>
        <w:rPr>
          <w:lang w:eastAsia="en-GB"/>
        </w:rPr>
      </w:pPr>
      <w:r w:rsidRPr="003D54A1">
        <w:rPr>
          <w:lang w:eastAsia="en-GB"/>
        </w:rPr>
        <w:t xml:space="preserve">All healthcare staff must be familiar with the principles of SICPs and TBPs for preventing the spread of infection in healthcare settings. </w:t>
      </w:r>
    </w:p>
    <w:p w14:paraId="60C0D5E7" w14:textId="77777777" w:rsidR="00B10EFE" w:rsidRPr="003D54A1" w:rsidRDefault="00B10EFE" w:rsidP="00471025">
      <w:pPr>
        <w:jc w:val="both"/>
        <w:rPr>
          <w:lang w:eastAsia="en-GB"/>
        </w:rPr>
      </w:pPr>
      <w:r w:rsidRPr="003D54A1">
        <w:rPr>
          <w:lang w:eastAsia="en-GB"/>
        </w:rPr>
        <w:t>The elements of</w:t>
      </w:r>
      <w:r w:rsidR="009733DA">
        <w:rPr>
          <w:lang w:eastAsia="en-GB"/>
        </w:rPr>
        <w:t xml:space="preserve"> </w:t>
      </w:r>
      <w:r w:rsidRPr="003D54A1">
        <w:rPr>
          <w:lang w:eastAsia="en-GB"/>
        </w:rPr>
        <w:t>SICP</w:t>
      </w:r>
      <w:r w:rsidR="009733DA">
        <w:rPr>
          <w:lang w:eastAsia="en-GB"/>
        </w:rPr>
        <w:t xml:space="preserve">s </w:t>
      </w:r>
      <w:r w:rsidRPr="003D54A1">
        <w:rPr>
          <w:lang w:eastAsia="en-GB"/>
        </w:rPr>
        <w:t>are:</w:t>
      </w:r>
    </w:p>
    <w:p w14:paraId="60DADD8D" w14:textId="59326374" w:rsidR="00B10EFE" w:rsidRPr="003D54A1" w:rsidRDefault="00236FAF" w:rsidP="009E4A53">
      <w:pPr>
        <w:pStyle w:val="ListParagraph"/>
        <w:numPr>
          <w:ilvl w:val="0"/>
          <w:numId w:val="5"/>
        </w:numPr>
        <w:rPr>
          <w:lang w:eastAsia="en-GB"/>
        </w:rPr>
      </w:pPr>
      <w:r>
        <w:rPr>
          <w:lang w:eastAsia="en-GB"/>
        </w:rPr>
        <w:t>*</w:t>
      </w:r>
      <w:r w:rsidR="00B10EFE" w:rsidRPr="003D54A1">
        <w:rPr>
          <w:lang w:eastAsia="en-GB"/>
        </w:rPr>
        <w:t>patient placement and assessment for infection risk (screening</w:t>
      </w:r>
      <w:r w:rsidR="0009770B">
        <w:rPr>
          <w:lang w:eastAsia="en-GB"/>
        </w:rPr>
        <w:t xml:space="preserve"> </w:t>
      </w:r>
      <w:r w:rsidR="00B10EFE" w:rsidRPr="003D54A1">
        <w:rPr>
          <w:lang w:eastAsia="en-GB"/>
        </w:rPr>
        <w:t>/triaging/</w:t>
      </w:r>
      <w:r w:rsidR="0009770B">
        <w:rPr>
          <w:lang w:eastAsia="en-GB"/>
        </w:rPr>
        <w:t xml:space="preserve"> </w:t>
      </w:r>
      <w:r w:rsidR="00B10EFE" w:rsidRPr="003D54A1">
        <w:rPr>
          <w:lang w:eastAsia="en-GB"/>
        </w:rPr>
        <w:t>testing)</w:t>
      </w:r>
    </w:p>
    <w:p w14:paraId="477253DF" w14:textId="77777777" w:rsidR="00B10EFE" w:rsidRPr="003D54A1" w:rsidRDefault="00B10EFE" w:rsidP="009E4A53">
      <w:pPr>
        <w:pStyle w:val="ListParagraph"/>
        <w:numPr>
          <w:ilvl w:val="0"/>
          <w:numId w:val="5"/>
        </w:numPr>
        <w:rPr>
          <w:lang w:eastAsia="en-GB"/>
        </w:rPr>
      </w:pPr>
      <w:r w:rsidRPr="003D54A1">
        <w:rPr>
          <w:lang w:eastAsia="en-GB"/>
        </w:rPr>
        <w:t>hand hygiene</w:t>
      </w:r>
    </w:p>
    <w:p w14:paraId="08087033" w14:textId="77777777" w:rsidR="00B10EFE" w:rsidRPr="003D54A1" w:rsidRDefault="00B10EFE" w:rsidP="009E4A53">
      <w:pPr>
        <w:pStyle w:val="ListParagraph"/>
        <w:numPr>
          <w:ilvl w:val="0"/>
          <w:numId w:val="5"/>
        </w:numPr>
        <w:rPr>
          <w:lang w:eastAsia="en-GB"/>
        </w:rPr>
      </w:pPr>
      <w:r w:rsidRPr="003D54A1">
        <w:rPr>
          <w:lang w:eastAsia="en-GB"/>
        </w:rPr>
        <w:t>respiratory and cough hygiene</w:t>
      </w:r>
    </w:p>
    <w:p w14:paraId="46C5145E" w14:textId="77777777" w:rsidR="00B10EFE" w:rsidRPr="003D54A1" w:rsidRDefault="000172A2" w:rsidP="009E4A53">
      <w:pPr>
        <w:pStyle w:val="ListParagraph"/>
        <w:numPr>
          <w:ilvl w:val="0"/>
          <w:numId w:val="5"/>
        </w:numPr>
        <w:rPr>
          <w:lang w:eastAsia="en-GB"/>
        </w:rPr>
      </w:pPr>
      <w:r w:rsidRPr="003D54A1">
        <w:rPr>
          <w:lang w:eastAsia="en-GB"/>
        </w:rPr>
        <w:t>Personal Protective Equipment (</w:t>
      </w:r>
      <w:r w:rsidR="00B10EFE" w:rsidRPr="003D54A1">
        <w:rPr>
          <w:lang w:eastAsia="en-GB"/>
        </w:rPr>
        <w:t>PPE</w:t>
      </w:r>
      <w:r w:rsidRPr="003D54A1">
        <w:rPr>
          <w:lang w:eastAsia="en-GB"/>
        </w:rPr>
        <w:t>)</w:t>
      </w:r>
    </w:p>
    <w:p w14:paraId="11AB2AB3" w14:textId="77777777" w:rsidR="00B10EFE" w:rsidRPr="003D54A1" w:rsidRDefault="00B10EFE" w:rsidP="009E4A53">
      <w:pPr>
        <w:pStyle w:val="ListParagraph"/>
        <w:numPr>
          <w:ilvl w:val="0"/>
          <w:numId w:val="5"/>
        </w:numPr>
        <w:rPr>
          <w:lang w:eastAsia="en-GB"/>
        </w:rPr>
      </w:pPr>
      <w:r w:rsidRPr="003D54A1">
        <w:rPr>
          <w:lang w:eastAsia="en-GB"/>
        </w:rPr>
        <w:t>safe management of the care environment</w:t>
      </w:r>
    </w:p>
    <w:p w14:paraId="6E91D29E" w14:textId="77777777" w:rsidR="00B10EFE" w:rsidRPr="003D54A1" w:rsidRDefault="00B10EFE" w:rsidP="009E4A53">
      <w:pPr>
        <w:pStyle w:val="ListParagraph"/>
        <w:numPr>
          <w:ilvl w:val="0"/>
          <w:numId w:val="5"/>
        </w:numPr>
        <w:rPr>
          <w:lang w:eastAsia="en-GB"/>
        </w:rPr>
      </w:pPr>
      <w:r w:rsidRPr="003D54A1">
        <w:rPr>
          <w:lang w:eastAsia="en-GB"/>
        </w:rPr>
        <w:t xml:space="preserve">safe management of </w:t>
      </w:r>
      <w:r w:rsidR="00D9050D" w:rsidRPr="003D54A1">
        <w:rPr>
          <w:lang w:eastAsia="en-GB"/>
        </w:rPr>
        <w:t xml:space="preserve">patient </w:t>
      </w:r>
      <w:r w:rsidRPr="003D54A1">
        <w:rPr>
          <w:lang w:eastAsia="en-GB"/>
        </w:rPr>
        <w:t>care equipment</w:t>
      </w:r>
    </w:p>
    <w:p w14:paraId="6B49DD13" w14:textId="77777777" w:rsidR="00B10EFE" w:rsidRPr="003D54A1" w:rsidRDefault="00B10EFE" w:rsidP="009E4A53">
      <w:pPr>
        <w:pStyle w:val="ListParagraph"/>
        <w:numPr>
          <w:ilvl w:val="0"/>
          <w:numId w:val="5"/>
        </w:numPr>
        <w:rPr>
          <w:lang w:eastAsia="en-GB"/>
        </w:rPr>
      </w:pPr>
      <w:r w:rsidRPr="003D54A1">
        <w:rPr>
          <w:lang w:eastAsia="en-GB"/>
        </w:rPr>
        <w:t>safe management of healthcare linen</w:t>
      </w:r>
    </w:p>
    <w:p w14:paraId="0BB30E7A" w14:textId="77777777" w:rsidR="00B10EFE" w:rsidRPr="003D54A1" w:rsidRDefault="00B10EFE" w:rsidP="009E4A53">
      <w:pPr>
        <w:pStyle w:val="ListParagraph"/>
        <w:numPr>
          <w:ilvl w:val="0"/>
          <w:numId w:val="5"/>
        </w:numPr>
        <w:rPr>
          <w:lang w:eastAsia="en-GB"/>
        </w:rPr>
      </w:pPr>
      <w:r w:rsidRPr="003D54A1">
        <w:rPr>
          <w:lang w:eastAsia="en-GB"/>
        </w:rPr>
        <w:t>safe management of blood and body fluids</w:t>
      </w:r>
    </w:p>
    <w:p w14:paraId="6F3F1970" w14:textId="77777777" w:rsidR="00B10EFE" w:rsidRPr="003D54A1" w:rsidRDefault="00B10EFE" w:rsidP="009E4A53">
      <w:pPr>
        <w:pStyle w:val="ListParagraph"/>
        <w:numPr>
          <w:ilvl w:val="0"/>
          <w:numId w:val="5"/>
        </w:numPr>
        <w:rPr>
          <w:lang w:eastAsia="en-GB"/>
        </w:rPr>
      </w:pPr>
      <w:r w:rsidRPr="003D54A1">
        <w:rPr>
          <w:lang w:eastAsia="en-GB"/>
        </w:rPr>
        <w:t>safe disposal of waste (including sharps)</w:t>
      </w:r>
    </w:p>
    <w:p w14:paraId="62BFC397" w14:textId="77777777" w:rsidR="00B10EFE" w:rsidRPr="003D54A1" w:rsidRDefault="00B10EFE" w:rsidP="009E4A53">
      <w:pPr>
        <w:pStyle w:val="ListParagraph"/>
        <w:numPr>
          <w:ilvl w:val="0"/>
          <w:numId w:val="5"/>
        </w:numPr>
        <w:rPr>
          <w:lang w:eastAsia="en-GB"/>
        </w:rPr>
      </w:pPr>
      <w:r w:rsidRPr="003D54A1">
        <w:rPr>
          <w:lang w:eastAsia="en-GB"/>
        </w:rPr>
        <w:t>occupational safety: prevention and exposure management</w:t>
      </w:r>
    </w:p>
    <w:p w14:paraId="71BF52E4" w14:textId="77777777" w:rsidR="00FE2167" w:rsidRPr="003D54A1" w:rsidRDefault="00EF4196" w:rsidP="00FE2167">
      <w:r w:rsidRPr="003D54A1">
        <w:rPr>
          <w:lang w:eastAsia="en-GB"/>
        </w:rPr>
        <w:t xml:space="preserve">TBPs are the additional measures </w:t>
      </w:r>
      <w:r w:rsidR="00A71EBD" w:rsidRPr="003D54A1">
        <w:rPr>
          <w:lang w:eastAsia="en-GB"/>
        </w:rPr>
        <w:t xml:space="preserve">to SICPs </w:t>
      </w:r>
      <w:r w:rsidRPr="003D54A1">
        <w:rPr>
          <w:lang w:eastAsia="en-GB"/>
        </w:rPr>
        <w:t>that</w:t>
      </w:r>
      <w:r w:rsidRPr="003D54A1">
        <w:t xml:space="preserve"> may be required when caring for </w:t>
      </w:r>
      <w:r w:rsidR="00BA54FB" w:rsidRPr="003D54A1">
        <w:t>*</w:t>
      </w:r>
      <w:r w:rsidRPr="003D54A1">
        <w:t>patients</w:t>
      </w:r>
      <w:r w:rsidR="006A3D0A" w:rsidRPr="003D54A1">
        <w:t xml:space="preserve"> </w:t>
      </w:r>
      <w:r w:rsidRPr="003D54A1">
        <w:t>with known / suspected infection or colonisation, th</w:t>
      </w:r>
      <w:r w:rsidR="008710E2" w:rsidRPr="003D54A1">
        <w:t>ese are:</w:t>
      </w:r>
    </w:p>
    <w:p w14:paraId="53DBE944" w14:textId="77777777" w:rsidR="00FF3B72" w:rsidRPr="003D54A1" w:rsidRDefault="00A71EBD" w:rsidP="009E4A53">
      <w:pPr>
        <w:pStyle w:val="ListParagraph"/>
        <w:numPr>
          <w:ilvl w:val="0"/>
          <w:numId w:val="6"/>
        </w:numPr>
        <w:rPr>
          <w:lang w:eastAsia="en-GB"/>
        </w:rPr>
      </w:pPr>
      <w:r w:rsidRPr="003D54A1">
        <w:rPr>
          <w:lang w:eastAsia="en-GB"/>
        </w:rPr>
        <w:t xml:space="preserve">assessment for infection risk and </w:t>
      </w:r>
      <w:r w:rsidR="00D9050D" w:rsidRPr="003D54A1">
        <w:rPr>
          <w:lang w:eastAsia="en-GB"/>
        </w:rPr>
        <w:t xml:space="preserve">patient placement </w:t>
      </w:r>
    </w:p>
    <w:p w14:paraId="3690BA08" w14:textId="77777777" w:rsidR="008710E2" w:rsidRPr="003D54A1" w:rsidRDefault="00FF3B72" w:rsidP="009E4A53">
      <w:pPr>
        <w:pStyle w:val="ListParagraph"/>
        <w:numPr>
          <w:ilvl w:val="0"/>
          <w:numId w:val="6"/>
        </w:numPr>
        <w:rPr>
          <w:lang w:eastAsia="en-GB"/>
        </w:rPr>
      </w:pPr>
      <w:r w:rsidRPr="003D54A1">
        <w:rPr>
          <w:lang w:eastAsia="en-GB"/>
        </w:rPr>
        <w:t xml:space="preserve">assessment for infection risk and </w:t>
      </w:r>
      <w:r w:rsidR="006C73A5" w:rsidRPr="003D54A1">
        <w:rPr>
          <w:lang w:eastAsia="en-GB"/>
        </w:rPr>
        <w:t>management</w:t>
      </w:r>
      <w:r w:rsidRPr="003D54A1">
        <w:rPr>
          <w:lang w:eastAsia="en-GB"/>
        </w:rPr>
        <w:t xml:space="preserve"> of contacts</w:t>
      </w:r>
    </w:p>
    <w:p w14:paraId="693DA70F" w14:textId="77777777" w:rsidR="00D9050D" w:rsidRPr="003D54A1" w:rsidRDefault="00D9050D" w:rsidP="009E4A53">
      <w:pPr>
        <w:pStyle w:val="ListParagraph"/>
        <w:numPr>
          <w:ilvl w:val="0"/>
          <w:numId w:val="6"/>
        </w:numPr>
        <w:rPr>
          <w:lang w:eastAsia="en-GB"/>
        </w:rPr>
      </w:pPr>
      <w:r w:rsidRPr="003D54A1">
        <w:rPr>
          <w:lang w:eastAsia="en-GB"/>
        </w:rPr>
        <w:t>safe management of patient care equipment in an isolation/cohort area</w:t>
      </w:r>
    </w:p>
    <w:p w14:paraId="7D3EE8B3" w14:textId="77777777" w:rsidR="00D9050D" w:rsidRPr="003D54A1" w:rsidRDefault="00D9050D" w:rsidP="009E4A53">
      <w:pPr>
        <w:pStyle w:val="ListParagraph"/>
        <w:numPr>
          <w:ilvl w:val="0"/>
          <w:numId w:val="6"/>
        </w:numPr>
        <w:rPr>
          <w:lang w:eastAsia="en-GB"/>
        </w:rPr>
      </w:pPr>
      <w:r w:rsidRPr="003D54A1">
        <w:rPr>
          <w:lang w:eastAsia="en-GB"/>
        </w:rPr>
        <w:t>safe management of the care environment</w:t>
      </w:r>
    </w:p>
    <w:p w14:paraId="71721DB3" w14:textId="7F7B3EA5" w:rsidR="00D9050D" w:rsidRPr="003D54A1" w:rsidRDefault="000172A2" w:rsidP="009E4A53">
      <w:pPr>
        <w:pStyle w:val="ListParagraph"/>
        <w:numPr>
          <w:ilvl w:val="0"/>
          <w:numId w:val="6"/>
        </w:numPr>
        <w:rPr>
          <w:lang w:eastAsia="en-GB"/>
        </w:rPr>
      </w:pPr>
      <w:r w:rsidRPr="003D54A1">
        <w:rPr>
          <w:lang w:eastAsia="en-GB"/>
        </w:rPr>
        <w:t>PPE</w:t>
      </w:r>
      <w:r w:rsidR="00DE4668" w:rsidRPr="003D54A1">
        <w:rPr>
          <w:lang w:eastAsia="en-GB"/>
        </w:rPr>
        <w:t xml:space="preserve">: </w:t>
      </w:r>
      <w:r w:rsidR="007B11C3" w:rsidRPr="003D54A1">
        <w:rPr>
          <w:lang w:eastAsia="en-GB"/>
        </w:rPr>
        <w:t>including</w:t>
      </w:r>
      <w:r w:rsidR="009D0FEC">
        <w:rPr>
          <w:lang w:eastAsia="en-GB"/>
        </w:rPr>
        <w:t xml:space="preserve"> Fluid Repellent</w:t>
      </w:r>
      <w:r w:rsidR="007B11C3" w:rsidRPr="003D54A1">
        <w:rPr>
          <w:lang w:eastAsia="en-GB"/>
        </w:rPr>
        <w:t xml:space="preserve"> </w:t>
      </w:r>
      <w:r w:rsidR="009D0FEC">
        <w:rPr>
          <w:lang w:eastAsia="en-GB"/>
        </w:rPr>
        <w:t>S</w:t>
      </w:r>
      <w:r w:rsidR="00B0469E" w:rsidRPr="003D54A1">
        <w:rPr>
          <w:lang w:eastAsia="en-GB"/>
        </w:rPr>
        <w:t xml:space="preserve">urgical </w:t>
      </w:r>
      <w:r w:rsidR="009D0FEC">
        <w:rPr>
          <w:lang w:eastAsia="en-GB"/>
        </w:rPr>
        <w:t>M</w:t>
      </w:r>
      <w:r w:rsidR="00B0469E" w:rsidRPr="003D54A1">
        <w:rPr>
          <w:lang w:eastAsia="en-GB"/>
        </w:rPr>
        <w:t>asks</w:t>
      </w:r>
      <w:r w:rsidR="009D0FEC">
        <w:rPr>
          <w:lang w:eastAsia="en-GB"/>
        </w:rPr>
        <w:t xml:space="preserve"> (FRSM)</w:t>
      </w:r>
      <w:r w:rsidR="00B0469E" w:rsidRPr="003D54A1">
        <w:rPr>
          <w:lang w:eastAsia="en-GB"/>
        </w:rPr>
        <w:t xml:space="preserve"> </w:t>
      </w:r>
      <w:r w:rsidR="00DE4668" w:rsidRPr="003D54A1">
        <w:rPr>
          <w:lang w:eastAsia="en-GB"/>
        </w:rPr>
        <w:t>respiratory protective equipment (RPE)</w:t>
      </w:r>
      <w:r w:rsidR="00B0469E" w:rsidRPr="003D54A1">
        <w:rPr>
          <w:lang w:eastAsia="en-GB"/>
        </w:rPr>
        <w:t>, eye protection, aprons/gowns</w:t>
      </w:r>
      <w:r w:rsidR="00BA54FB" w:rsidRPr="003D54A1">
        <w:rPr>
          <w:lang w:eastAsia="en-GB"/>
        </w:rPr>
        <w:t xml:space="preserve"> etc</w:t>
      </w:r>
      <w:r w:rsidR="003D54A1">
        <w:rPr>
          <w:lang w:eastAsia="en-GB"/>
        </w:rPr>
        <w:t>.</w:t>
      </w:r>
    </w:p>
    <w:p w14:paraId="41EA53D7" w14:textId="66C65A30" w:rsidR="00D9050D" w:rsidRPr="0054035C" w:rsidRDefault="00B940C0" w:rsidP="009E4A53">
      <w:pPr>
        <w:pStyle w:val="ListParagraph"/>
        <w:numPr>
          <w:ilvl w:val="0"/>
          <w:numId w:val="6"/>
        </w:numPr>
        <w:rPr>
          <w:sz w:val="20"/>
          <w:szCs w:val="20"/>
          <w:lang w:eastAsia="en-GB"/>
        </w:rPr>
      </w:pPr>
      <w:r w:rsidRPr="003D54A1">
        <w:rPr>
          <w:lang w:eastAsia="en-GB"/>
        </w:rPr>
        <w:t>aerosol generating procedures</w:t>
      </w:r>
      <w:r w:rsidR="000172A2" w:rsidRPr="003D54A1">
        <w:rPr>
          <w:lang w:eastAsia="en-GB"/>
        </w:rPr>
        <w:t xml:space="preserve"> (AGPs)</w:t>
      </w:r>
      <w:r w:rsidR="007C23A2" w:rsidRPr="003D54A1">
        <w:rPr>
          <w:lang w:eastAsia="en-GB"/>
        </w:rPr>
        <w:t xml:space="preserve"> and associated PPE</w:t>
      </w:r>
      <w:r w:rsidR="003E1D61" w:rsidRPr="003D54A1">
        <w:rPr>
          <w:lang w:eastAsia="en-GB"/>
        </w:rPr>
        <w:t xml:space="preserve"> – </w:t>
      </w:r>
      <w:r w:rsidR="00EA2E72" w:rsidRPr="0054035C">
        <w:rPr>
          <w:sz w:val="20"/>
          <w:szCs w:val="20"/>
          <w:lang w:eastAsia="en-GB"/>
        </w:rPr>
        <w:t>(</w:t>
      </w:r>
      <w:r w:rsidR="003E1D61" w:rsidRPr="0054035C">
        <w:rPr>
          <w:sz w:val="20"/>
          <w:szCs w:val="20"/>
          <w:lang w:eastAsia="en-GB"/>
        </w:rPr>
        <w:t xml:space="preserve">see </w:t>
      </w:r>
      <w:r w:rsidR="0009770B" w:rsidRPr="0054035C">
        <w:rPr>
          <w:sz w:val="20"/>
          <w:szCs w:val="20"/>
          <w:lang w:eastAsia="en-GB"/>
        </w:rPr>
        <w:t>A</w:t>
      </w:r>
      <w:r w:rsidR="003E1D61" w:rsidRPr="0054035C">
        <w:rPr>
          <w:sz w:val="20"/>
          <w:szCs w:val="20"/>
          <w:lang w:eastAsia="en-GB"/>
        </w:rPr>
        <w:t>ppendix 2</w:t>
      </w:r>
      <w:r w:rsidR="009C3DAD">
        <w:rPr>
          <w:sz w:val="20"/>
          <w:szCs w:val="20"/>
          <w:lang w:eastAsia="en-GB"/>
        </w:rPr>
        <w:t xml:space="preserve"> in</w:t>
      </w:r>
      <w:r w:rsidR="00EA2E72" w:rsidRPr="0054035C">
        <w:rPr>
          <w:sz w:val="20"/>
          <w:szCs w:val="20"/>
          <w:lang w:eastAsia="en-GB"/>
        </w:rPr>
        <w:t xml:space="preserve"> this document)</w:t>
      </w:r>
    </w:p>
    <w:p w14:paraId="559F23AA" w14:textId="77777777" w:rsidR="00B31BE1" w:rsidRPr="003D54A1" w:rsidRDefault="00B940C0" w:rsidP="009E4A53">
      <w:pPr>
        <w:pStyle w:val="ListParagraph"/>
        <w:numPr>
          <w:ilvl w:val="0"/>
          <w:numId w:val="6"/>
        </w:numPr>
        <w:shd w:val="clear" w:color="auto" w:fill="FFFFFF"/>
        <w:spacing w:after="75" w:line="240" w:lineRule="auto"/>
        <w:rPr>
          <w:lang w:eastAsia="en-GB"/>
        </w:rPr>
      </w:pPr>
      <w:r w:rsidRPr="003D54A1">
        <w:rPr>
          <w:lang w:eastAsia="en-GB"/>
        </w:rPr>
        <w:t>care of the deceased</w:t>
      </w:r>
    </w:p>
    <w:p w14:paraId="55281250" w14:textId="77777777" w:rsidR="00B940C0" w:rsidRPr="003D54A1" w:rsidRDefault="00B940C0" w:rsidP="00B940C0">
      <w:pPr>
        <w:pStyle w:val="ListParagraph"/>
        <w:shd w:val="clear" w:color="auto" w:fill="FFFFFF"/>
        <w:spacing w:after="75" w:line="240" w:lineRule="auto"/>
        <w:rPr>
          <w:lang w:eastAsia="en-GB"/>
        </w:rPr>
      </w:pPr>
    </w:p>
    <w:p w14:paraId="7D5373EE" w14:textId="77777777" w:rsidR="0003487B" w:rsidRPr="003D54A1" w:rsidRDefault="0003487B" w:rsidP="00471025">
      <w:pPr>
        <w:jc w:val="both"/>
        <w:rPr>
          <w:lang w:eastAsia="en-GB"/>
        </w:rPr>
      </w:pPr>
      <w:r w:rsidRPr="003D54A1">
        <w:rPr>
          <w:lang w:eastAsia="en-GB"/>
        </w:rPr>
        <w:t>The IPC principles in this document apply to health</w:t>
      </w:r>
      <w:r w:rsidR="00046966" w:rsidRPr="003D54A1">
        <w:rPr>
          <w:lang w:eastAsia="en-GB"/>
        </w:rPr>
        <w:t xml:space="preserve"> and </w:t>
      </w:r>
      <w:r w:rsidRPr="003D54A1">
        <w:rPr>
          <w:lang w:eastAsia="en-GB"/>
        </w:rPr>
        <w:t xml:space="preserve">care settings in </w:t>
      </w:r>
      <w:r w:rsidR="00046966" w:rsidRPr="003D54A1">
        <w:rPr>
          <w:lang w:eastAsia="en-GB"/>
        </w:rPr>
        <w:t>Wales</w:t>
      </w:r>
      <w:r w:rsidRPr="003D54A1">
        <w:rPr>
          <w:lang w:eastAsia="en-GB"/>
        </w:rPr>
        <w:t>. This includes mental health and learning disabilities, primary care, maternity, and paediatrics</w:t>
      </w:r>
      <w:r w:rsidR="00046966" w:rsidRPr="003D54A1">
        <w:rPr>
          <w:lang w:eastAsia="en-GB"/>
        </w:rPr>
        <w:t xml:space="preserve"> as well as the care home sector</w:t>
      </w:r>
      <w:r w:rsidRPr="003D54A1">
        <w:rPr>
          <w:lang w:eastAsia="en-GB"/>
        </w:rPr>
        <w:t xml:space="preserve"> (this list is not exhaustive).</w:t>
      </w:r>
    </w:p>
    <w:p w14:paraId="2B5CE219" w14:textId="77777777" w:rsidR="0098777D" w:rsidRDefault="0098777D" w:rsidP="003624AA">
      <w:pPr>
        <w:rPr>
          <w:lang w:eastAsia="en-GB"/>
        </w:rPr>
      </w:pPr>
    </w:p>
    <w:p w14:paraId="05936EBF" w14:textId="0BD2A6FD" w:rsidR="0003487B" w:rsidRPr="003D54A1" w:rsidRDefault="0003487B" w:rsidP="003624AA">
      <w:pPr>
        <w:rPr>
          <w:lang w:eastAsia="en-GB"/>
        </w:rPr>
      </w:pPr>
      <w:r w:rsidRPr="003D54A1">
        <w:rPr>
          <w:lang w:eastAsia="en-GB"/>
        </w:rPr>
        <w:lastRenderedPageBreak/>
        <w:t>Please note:</w:t>
      </w:r>
    </w:p>
    <w:p w14:paraId="040C3D7A" w14:textId="77777777" w:rsidR="0003487B" w:rsidRPr="003D54A1" w:rsidRDefault="0003487B" w:rsidP="009E4A53">
      <w:pPr>
        <w:pStyle w:val="ListParagraph"/>
        <w:numPr>
          <w:ilvl w:val="0"/>
          <w:numId w:val="3"/>
        </w:numPr>
        <w:rPr>
          <w:lang w:eastAsia="en-GB"/>
        </w:rPr>
      </w:pPr>
      <w:r w:rsidRPr="003D54A1">
        <w:rPr>
          <w:lang w:eastAsia="en-GB"/>
        </w:rPr>
        <w:t xml:space="preserve">this guidance is of a general nature. Employers should consider the specific conditions of each individual place of work and comply with all applicable legislation and regulations, including the </w:t>
      </w:r>
      <w:hyperlink r:id="rId16" w:history="1">
        <w:r w:rsidRPr="00503FC1">
          <w:rPr>
            <w:rStyle w:val="Hyperlink"/>
            <w:color w:val="2F5496" w:themeColor="accent1" w:themeShade="BF"/>
          </w:rPr>
          <w:t>Health and Safety at Work etc. Act 1974</w:t>
        </w:r>
      </w:hyperlink>
      <w:r w:rsidRPr="00503FC1">
        <w:rPr>
          <w:rStyle w:val="Hyperlink"/>
          <w:color w:val="2F5496" w:themeColor="accent1" w:themeShade="BF"/>
        </w:rPr>
        <w:t xml:space="preserve">. </w:t>
      </w:r>
      <w:r w:rsidR="00B0469E" w:rsidRPr="003D54A1">
        <w:rPr>
          <w:lang w:eastAsia="en-GB"/>
        </w:rPr>
        <w:t xml:space="preserve">And Health and Safety Executive </w:t>
      </w:r>
      <w:hyperlink r:id="rId17" w:history="1">
        <w:r w:rsidR="00B0469E" w:rsidRPr="00503FC1">
          <w:rPr>
            <w:rStyle w:val="Hyperlink"/>
            <w:color w:val="2F5496" w:themeColor="accent1" w:themeShade="BF"/>
            <w:lang w:eastAsia="en-GB"/>
          </w:rPr>
          <w:t>(HSE) guidance on use of PPE and RPE.</w:t>
        </w:r>
      </w:hyperlink>
      <w:r w:rsidR="00B0469E" w:rsidRPr="00503FC1">
        <w:rPr>
          <w:color w:val="2F5496" w:themeColor="accent1" w:themeShade="BF"/>
          <w:lang w:eastAsia="en-GB"/>
        </w:rPr>
        <w:t xml:space="preserve"> </w:t>
      </w:r>
      <w:r w:rsidRPr="003D54A1">
        <w:rPr>
          <w:lang w:eastAsia="en-GB"/>
        </w:rPr>
        <w:t>This guidance does not supersede existing legislation or regulations across the UK</w:t>
      </w:r>
    </w:p>
    <w:p w14:paraId="649F2B9D" w14:textId="13C30585" w:rsidR="001F7DF5" w:rsidRDefault="001F7DF5" w:rsidP="00471025">
      <w:pPr>
        <w:jc w:val="both"/>
        <w:rPr>
          <w:lang w:eastAsia="en-GB"/>
        </w:rPr>
      </w:pPr>
    </w:p>
    <w:p w14:paraId="3BB78560" w14:textId="0A848759" w:rsidR="0098777D" w:rsidRDefault="0098777D" w:rsidP="00471025">
      <w:pPr>
        <w:jc w:val="both"/>
        <w:rPr>
          <w:lang w:eastAsia="en-GB"/>
        </w:rPr>
      </w:pPr>
    </w:p>
    <w:p w14:paraId="19492226" w14:textId="12891FBD" w:rsidR="0098777D" w:rsidRDefault="0098777D" w:rsidP="00471025">
      <w:pPr>
        <w:jc w:val="both"/>
        <w:rPr>
          <w:lang w:eastAsia="en-GB"/>
        </w:rPr>
      </w:pPr>
    </w:p>
    <w:p w14:paraId="31935460" w14:textId="39C0FFC6" w:rsidR="0098777D" w:rsidRDefault="0098777D" w:rsidP="00471025">
      <w:pPr>
        <w:jc w:val="both"/>
        <w:rPr>
          <w:lang w:eastAsia="en-GB"/>
        </w:rPr>
      </w:pPr>
    </w:p>
    <w:p w14:paraId="3C212A7E" w14:textId="0CE7241D" w:rsidR="0098777D" w:rsidRDefault="0098777D" w:rsidP="00471025">
      <w:pPr>
        <w:jc w:val="both"/>
        <w:rPr>
          <w:lang w:eastAsia="en-GB"/>
        </w:rPr>
      </w:pPr>
    </w:p>
    <w:p w14:paraId="1A613405" w14:textId="3225D9CC" w:rsidR="0098777D" w:rsidRDefault="0098777D" w:rsidP="00471025">
      <w:pPr>
        <w:jc w:val="both"/>
        <w:rPr>
          <w:lang w:eastAsia="en-GB"/>
        </w:rPr>
      </w:pPr>
    </w:p>
    <w:p w14:paraId="712145AB" w14:textId="42A4F4FE" w:rsidR="0098777D" w:rsidRDefault="0098777D" w:rsidP="00471025">
      <w:pPr>
        <w:jc w:val="both"/>
        <w:rPr>
          <w:lang w:eastAsia="en-GB"/>
        </w:rPr>
      </w:pPr>
    </w:p>
    <w:p w14:paraId="4D578439" w14:textId="0A774F68" w:rsidR="0098777D" w:rsidRDefault="0098777D" w:rsidP="00471025">
      <w:pPr>
        <w:jc w:val="both"/>
        <w:rPr>
          <w:lang w:eastAsia="en-GB"/>
        </w:rPr>
      </w:pPr>
    </w:p>
    <w:p w14:paraId="1E2DF2AB" w14:textId="36649EF0" w:rsidR="0098777D" w:rsidRDefault="0098777D" w:rsidP="00471025">
      <w:pPr>
        <w:jc w:val="both"/>
        <w:rPr>
          <w:lang w:eastAsia="en-GB"/>
        </w:rPr>
      </w:pPr>
    </w:p>
    <w:p w14:paraId="4D321F59" w14:textId="2FB7C6AA" w:rsidR="0098777D" w:rsidRDefault="0098777D" w:rsidP="00471025">
      <w:pPr>
        <w:jc w:val="both"/>
        <w:rPr>
          <w:lang w:eastAsia="en-GB"/>
        </w:rPr>
      </w:pPr>
    </w:p>
    <w:p w14:paraId="384D33D0" w14:textId="29306648" w:rsidR="0098777D" w:rsidRDefault="0098777D" w:rsidP="00471025">
      <w:pPr>
        <w:jc w:val="both"/>
        <w:rPr>
          <w:lang w:eastAsia="en-GB"/>
        </w:rPr>
      </w:pPr>
    </w:p>
    <w:p w14:paraId="40D09FB7" w14:textId="29C07C1B" w:rsidR="0098777D" w:rsidRDefault="0098777D" w:rsidP="00471025">
      <w:pPr>
        <w:jc w:val="both"/>
        <w:rPr>
          <w:lang w:eastAsia="en-GB"/>
        </w:rPr>
      </w:pPr>
    </w:p>
    <w:p w14:paraId="5865F2D8" w14:textId="5D8BA716" w:rsidR="0098777D" w:rsidRDefault="0098777D" w:rsidP="00471025">
      <w:pPr>
        <w:jc w:val="both"/>
        <w:rPr>
          <w:lang w:eastAsia="en-GB"/>
        </w:rPr>
      </w:pPr>
    </w:p>
    <w:p w14:paraId="5195D720" w14:textId="29DA08DF" w:rsidR="0098777D" w:rsidRDefault="0098777D" w:rsidP="00471025">
      <w:pPr>
        <w:jc w:val="both"/>
        <w:rPr>
          <w:lang w:eastAsia="en-GB"/>
        </w:rPr>
      </w:pPr>
    </w:p>
    <w:p w14:paraId="2C930A76" w14:textId="75F19EC9" w:rsidR="0098777D" w:rsidRDefault="0098777D" w:rsidP="00471025">
      <w:pPr>
        <w:jc w:val="both"/>
        <w:rPr>
          <w:lang w:eastAsia="en-GB"/>
        </w:rPr>
      </w:pPr>
    </w:p>
    <w:p w14:paraId="51657C61" w14:textId="2051CFAE" w:rsidR="0098777D" w:rsidRDefault="0098777D" w:rsidP="00471025">
      <w:pPr>
        <w:jc w:val="both"/>
        <w:rPr>
          <w:lang w:eastAsia="en-GB"/>
        </w:rPr>
      </w:pPr>
    </w:p>
    <w:p w14:paraId="7D990BE4" w14:textId="7ABE9D41" w:rsidR="0098777D" w:rsidRDefault="0098777D" w:rsidP="00471025">
      <w:pPr>
        <w:jc w:val="both"/>
        <w:rPr>
          <w:lang w:eastAsia="en-GB"/>
        </w:rPr>
      </w:pPr>
    </w:p>
    <w:p w14:paraId="7DA3AFCF" w14:textId="7375174D" w:rsidR="0098777D" w:rsidRDefault="0098777D" w:rsidP="00471025">
      <w:pPr>
        <w:jc w:val="both"/>
        <w:rPr>
          <w:lang w:eastAsia="en-GB"/>
        </w:rPr>
      </w:pPr>
    </w:p>
    <w:p w14:paraId="6E0BD9EF" w14:textId="471D28D3" w:rsidR="0098777D" w:rsidRDefault="0098777D" w:rsidP="00471025">
      <w:pPr>
        <w:jc w:val="both"/>
        <w:rPr>
          <w:lang w:eastAsia="en-GB"/>
        </w:rPr>
      </w:pPr>
    </w:p>
    <w:p w14:paraId="44B40C2E" w14:textId="206E8DB2" w:rsidR="0098777D" w:rsidRDefault="0098777D" w:rsidP="00471025">
      <w:pPr>
        <w:jc w:val="both"/>
        <w:rPr>
          <w:lang w:eastAsia="en-GB"/>
        </w:rPr>
      </w:pPr>
    </w:p>
    <w:p w14:paraId="4C3EA521" w14:textId="336879BF" w:rsidR="0098777D" w:rsidRDefault="0098777D" w:rsidP="00471025">
      <w:pPr>
        <w:jc w:val="both"/>
        <w:rPr>
          <w:lang w:eastAsia="en-GB"/>
        </w:rPr>
      </w:pPr>
    </w:p>
    <w:p w14:paraId="4A136C21" w14:textId="2C20ED0F" w:rsidR="0098777D" w:rsidRDefault="0098777D" w:rsidP="00471025">
      <w:pPr>
        <w:jc w:val="both"/>
        <w:rPr>
          <w:lang w:eastAsia="en-GB"/>
        </w:rPr>
      </w:pPr>
    </w:p>
    <w:p w14:paraId="063313B9" w14:textId="77777777" w:rsidR="0098777D" w:rsidRPr="003D54A1" w:rsidRDefault="0098777D" w:rsidP="00471025">
      <w:pPr>
        <w:jc w:val="both"/>
        <w:rPr>
          <w:lang w:eastAsia="en-GB"/>
        </w:rPr>
      </w:pPr>
    </w:p>
    <w:p w14:paraId="49590C03" w14:textId="72AA4778" w:rsidR="007623C8" w:rsidRPr="003D54A1" w:rsidRDefault="00624E85" w:rsidP="00471025">
      <w:pPr>
        <w:pStyle w:val="TOCheading2"/>
        <w:jc w:val="both"/>
        <w:rPr>
          <w:lang w:val="en-GB" w:eastAsia="en-GB"/>
        </w:rPr>
      </w:pPr>
      <w:bookmarkStart w:id="1" w:name="_Toc124166180"/>
      <w:r w:rsidRPr="003D54A1">
        <w:rPr>
          <w:lang w:val="en-GB" w:eastAsia="en-GB"/>
        </w:rPr>
        <w:lastRenderedPageBreak/>
        <w:t xml:space="preserve">General </w:t>
      </w:r>
      <w:r w:rsidR="00B04D63" w:rsidRPr="003D54A1">
        <w:rPr>
          <w:lang w:val="en-GB" w:eastAsia="en-GB"/>
        </w:rPr>
        <w:t>I</w:t>
      </w:r>
      <w:r w:rsidRPr="003D54A1">
        <w:rPr>
          <w:lang w:val="en-GB" w:eastAsia="en-GB"/>
        </w:rPr>
        <w:t>nformation</w:t>
      </w:r>
      <w:bookmarkEnd w:id="1"/>
    </w:p>
    <w:p w14:paraId="782EB118" w14:textId="77777777" w:rsidR="003620C4" w:rsidRPr="003D54A1" w:rsidRDefault="003620C4" w:rsidP="00471025">
      <w:pPr>
        <w:pStyle w:val="TOCheading3"/>
        <w:jc w:val="both"/>
        <w:rPr>
          <w:lang w:val="en-GB" w:eastAsia="en-GB"/>
        </w:rPr>
      </w:pPr>
      <w:bookmarkStart w:id="2" w:name="_Toc124166181"/>
      <w:r w:rsidRPr="003D54A1">
        <w:rPr>
          <w:lang w:val="en-GB" w:eastAsia="en-GB"/>
        </w:rPr>
        <w:t xml:space="preserve">Infectious </w:t>
      </w:r>
      <w:r w:rsidR="00B04D63" w:rsidRPr="003D54A1">
        <w:rPr>
          <w:lang w:val="en-GB" w:eastAsia="en-GB"/>
        </w:rPr>
        <w:t>p</w:t>
      </w:r>
      <w:r w:rsidRPr="003D54A1">
        <w:rPr>
          <w:lang w:val="en-GB" w:eastAsia="en-GB"/>
        </w:rPr>
        <w:t>eriod</w:t>
      </w:r>
      <w:bookmarkEnd w:id="2"/>
    </w:p>
    <w:p w14:paraId="652C0A0D" w14:textId="19837EC3" w:rsidR="00D8718D" w:rsidRDefault="00B73CA0" w:rsidP="00471025">
      <w:pPr>
        <w:pStyle w:val="ListParagraph"/>
        <w:numPr>
          <w:ilvl w:val="0"/>
          <w:numId w:val="3"/>
        </w:numPr>
        <w:jc w:val="both"/>
        <w:rPr>
          <w:lang w:eastAsia="en-GB"/>
        </w:rPr>
      </w:pPr>
      <w:r>
        <w:rPr>
          <w:b/>
          <w:lang w:eastAsia="en-GB"/>
        </w:rPr>
        <w:t>SARS CoV-2 (</w:t>
      </w:r>
      <w:r w:rsidR="008E2D1B" w:rsidRPr="0054035C">
        <w:rPr>
          <w:b/>
          <w:lang w:eastAsia="en-GB"/>
        </w:rPr>
        <w:t>COVID-19</w:t>
      </w:r>
      <w:r>
        <w:rPr>
          <w:b/>
          <w:lang w:eastAsia="en-GB"/>
        </w:rPr>
        <w:t>)</w:t>
      </w:r>
      <w:r w:rsidR="008E2D1B" w:rsidRPr="0054035C">
        <w:rPr>
          <w:b/>
          <w:lang w:eastAsia="en-GB"/>
        </w:rPr>
        <w:t xml:space="preserve"> </w:t>
      </w:r>
      <w:r w:rsidR="00D8718D">
        <w:rPr>
          <w:lang w:eastAsia="en-GB"/>
        </w:rPr>
        <w:t xml:space="preserve">- </w:t>
      </w:r>
      <w:r w:rsidR="008E2D1B" w:rsidRPr="003D54A1">
        <w:rPr>
          <w:lang w:eastAsia="en-GB"/>
        </w:rPr>
        <w:t xml:space="preserve">may be infectious from 2-3 days prior to symptom onset </w:t>
      </w:r>
      <w:r w:rsidR="00B21AE1" w:rsidRPr="003D54A1">
        <w:rPr>
          <w:lang w:eastAsia="en-GB"/>
        </w:rPr>
        <w:t>and typically up to 10 days following symptom onset</w:t>
      </w:r>
      <w:r w:rsidR="00D8718D">
        <w:rPr>
          <w:lang w:eastAsia="en-GB"/>
        </w:rPr>
        <w:t>.</w:t>
      </w:r>
      <w:r w:rsidR="00D8718D" w:rsidRPr="00D8718D">
        <w:t xml:space="preserve"> </w:t>
      </w:r>
      <w:r w:rsidR="00D8718D" w:rsidRPr="0030357D">
        <w:t xml:space="preserve">The time from exposure to developing the first symptom (incubation period) is </w:t>
      </w:r>
      <w:r w:rsidR="00E516E3">
        <w:t>typically 5</w:t>
      </w:r>
      <w:r w:rsidR="00D8718D" w:rsidRPr="0030357D">
        <w:t xml:space="preserve"> days</w:t>
      </w:r>
      <w:r w:rsidR="003F54BA">
        <w:t xml:space="preserve"> but can be 1-14 days</w:t>
      </w:r>
      <w:r w:rsidR="00D8718D" w:rsidRPr="00D8718D">
        <w:rPr>
          <w:color w:val="212B32"/>
          <w:szCs w:val="24"/>
          <w:shd w:val="clear" w:color="auto" w:fill="FFFFFF"/>
        </w:rPr>
        <w:t xml:space="preserve">.  </w:t>
      </w:r>
    </w:p>
    <w:p w14:paraId="0751D4D6" w14:textId="51245E16" w:rsidR="003A5CF6" w:rsidRPr="0054035C" w:rsidRDefault="00B73CA0" w:rsidP="00471025">
      <w:pPr>
        <w:pStyle w:val="ListParagraph"/>
        <w:numPr>
          <w:ilvl w:val="0"/>
          <w:numId w:val="3"/>
        </w:numPr>
        <w:jc w:val="both"/>
        <w:rPr>
          <w:lang w:eastAsia="en-GB"/>
        </w:rPr>
      </w:pPr>
      <w:r w:rsidRPr="0054035C">
        <w:rPr>
          <w:b/>
          <w:lang w:eastAsia="en-GB"/>
        </w:rPr>
        <w:t>Influenza</w:t>
      </w:r>
      <w:r w:rsidR="00F74B14">
        <w:rPr>
          <w:b/>
          <w:lang w:eastAsia="en-GB"/>
        </w:rPr>
        <w:t xml:space="preserve"> (Flu)</w:t>
      </w:r>
      <w:r w:rsidR="00D8718D" w:rsidRPr="0054035C">
        <w:rPr>
          <w:b/>
          <w:lang w:eastAsia="en-GB"/>
        </w:rPr>
        <w:t xml:space="preserve"> </w:t>
      </w:r>
      <w:r w:rsidR="00D8718D">
        <w:rPr>
          <w:b/>
          <w:lang w:eastAsia="en-GB"/>
        </w:rPr>
        <w:t>–</w:t>
      </w:r>
      <w:r w:rsidR="00D8718D">
        <w:rPr>
          <w:lang w:eastAsia="en-GB"/>
        </w:rPr>
        <w:t xml:space="preserve"> may be infectious 1 day before onset of symptoms, peaks after 1</w:t>
      </w:r>
      <w:r w:rsidR="00D8718D">
        <w:t xml:space="preserve">-2 days </w:t>
      </w:r>
      <w:r w:rsidR="00D8718D" w:rsidRPr="0030357D">
        <w:rPr>
          <w:color w:val="212B32"/>
          <w:szCs w:val="24"/>
          <w:shd w:val="clear" w:color="auto" w:fill="FFFFFF"/>
        </w:rPr>
        <w:t>of symptoms and then declines, so that infectivity is very low after 7 days in adults. It is more likely to spread to others in the first 5 days after onset of symptoms.</w:t>
      </w:r>
      <w:r w:rsidR="00D8718D" w:rsidRPr="0030357D">
        <w:rPr>
          <w:rFonts w:eastAsia="Arial"/>
          <w:b/>
          <w:bCs/>
          <w:color w:val="365F91"/>
          <w:szCs w:val="24"/>
        </w:rPr>
        <w:t xml:space="preserve">  </w:t>
      </w:r>
      <w:r w:rsidR="00D8718D" w:rsidRPr="0030357D">
        <w:t>The time from exposure to developing the first symptom (incubation period) is usually 1 to 3 days</w:t>
      </w:r>
      <w:r w:rsidR="00D8718D" w:rsidRPr="00D8718D">
        <w:rPr>
          <w:color w:val="212B32"/>
          <w:szCs w:val="24"/>
          <w:shd w:val="clear" w:color="auto" w:fill="FFFFFF"/>
        </w:rPr>
        <w:t xml:space="preserve">. </w:t>
      </w:r>
    </w:p>
    <w:p w14:paraId="14C72ECC" w14:textId="4E20D1AE" w:rsidR="00D8718D" w:rsidRPr="0054035C" w:rsidRDefault="00F72C0C" w:rsidP="00471025">
      <w:pPr>
        <w:pStyle w:val="ListParagraph"/>
        <w:numPr>
          <w:ilvl w:val="0"/>
          <w:numId w:val="3"/>
        </w:numPr>
        <w:jc w:val="both"/>
        <w:rPr>
          <w:lang w:eastAsia="en-GB"/>
        </w:rPr>
      </w:pPr>
      <w:r>
        <w:rPr>
          <w:b/>
          <w:lang w:eastAsia="en-GB"/>
        </w:rPr>
        <w:t>Other ARI</w:t>
      </w:r>
      <w:r w:rsidR="00C50939">
        <w:rPr>
          <w:b/>
          <w:lang w:eastAsia="en-GB"/>
        </w:rPr>
        <w:t xml:space="preserve"> – (</w:t>
      </w:r>
      <w:r w:rsidR="003A5CF6" w:rsidRPr="0054035C">
        <w:rPr>
          <w:sz w:val="18"/>
          <w:szCs w:val="18"/>
          <w:lang w:eastAsia="en-GB"/>
        </w:rPr>
        <w:t>RSV</w:t>
      </w:r>
      <w:r w:rsidR="00C50939" w:rsidRPr="0054035C">
        <w:rPr>
          <w:sz w:val="18"/>
          <w:szCs w:val="18"/>
          <w:lang w:eastAsia="en-GB"/>
        </w:rPr>
        <w:t>,</w:t>
      </w:r>
      <w:r w:rsidR="003A5CF6" w:rsidRPr="0054035C">
        <w:rPr>
          <w:sz w:val="18"/>
          <w:szCs w:val="18"/>
          <w:lang w:eastAsia="en-GB"/>
        </w:rPr>
        <w:t xml:space="preserve"> </w:t>
      </w:r>
      <w:r w:rsidR="00036610" w:rsidRPr="0054035C">
        <w:rPr>
          <w:sz w:val="18"/>
          <w:szCs w:val="18"/>
          <w:lang w:eastAsia="en-GB"/>
        </w:rPr>
        <w:t>Metapneumovirus,</w:t>
      </w:r>
      <w:r w:rsidR="00C50939" w:rsidRPr="0054035C">
        <w:rPr>
          <w:sz w:val="18"/>
          <w:szCs w:val="18"/>
          <w:lang w:eastAsia="en-GB"/>
        </w:rPr>
        <w:t xml:space="preserve"> </w:t>
      </w:r>
      <w:r w:rsidR="00C50939" w:rsidRPr="0054035C">
        <w:rPr>
          <w:i/>
          <w:sz w:val="18"/>
          <w:szCs w:val="18"/>
          <w:lang w:eastAsia="en-GB"/>
        </w:rPr>
        <w:t>H. Influenza</w:t>
      </w:r>
      <w:r w:rsidR="00C50939" w:rsidRPr="0054035C">
        <w:rPr>
          <w:sz w:val="18"/>
          <w:szCs w:val="18"/>
          <w:lang w:eastAsia="en-GB"/>
        </w:rPr>
        <w:t xml:space="preserve">, </w:t>
      </w:r>
      <w:r w:rsidR="003E661C">
        <w:rPr>
          <w:sz w:val="18"/>
          <w:szCs w:val="18"/>
          <w:lang w:eastAsia="en-GB"/>
        </w:rPr>
        <w:t xml:space="preserve">human </w:t>
      </w:r>
      <w:r w:rsidR="00C50939" w:rsidRPr="0054035C">
        <w:rPr>
          <w:sz w:val="18"/>
          <w:szCs w:val="18"/>
          <w:lang w:eastAsia="en-GB"/>
        </w:rPr>
        <w:t>parainfluenza</w:t>
      </w:r>
      <w:r w:rsidR="003E661C">
        <w:rPr>
          <w:sz w:val="18"/>
          <w:szCs w:val="18"/>
          <w:lang w:eastAsia="en-GB"/>
        </w:rPr>
        <w:t>, rhinovirus</w:t>
      </w:r>
      <w:r w:rsidR="00C50939">
        <w:rPr>
          <w:lang w:eastAsia="en-GB"/>
        </w:rPr>
        <w:t>)</w:t>
      </w:r>
      <w:r w:rsidR="00036610">
        <w:rPr>
          <w:lang w:eastAsia="en-GB"/>
        </w:rPr>
        <w:t xml:space="preserve"> </w:t>
      </w:r>
      <w:r w:rsidR="003A5CF6">
        <w:rPr>
          <w:lang w:eastAsia="en-GB"/>
        </w:rPr>
        <w:t>-</w:t>
      </w:r>
      <w:r w:rsidR="003A5CF6">
        <w:rPr>
          <w:color w:val="212B32"/>
          <w:szCs w:val="24"/>
          <w:shd w:val="clear" w:color="auto" w:fill="FFFFFF"/>
        </w:rPr>
        <w:t xml:space="preserve"> </w:t>
      </w:r>
      <w:r w:rsidR="00C50939">
        <w:rPr>
          <w:color w:val="212B32"/>
          <w:szCs w:val="24"/>
          <w:shd w:val="clear" w:color="auto" w:fill="FFFFFF"/>
        </w:rPr>
        <w:t>Have similar incubation and transmission periods. Ma</w:t>
      </w:r>
      <w:r w:rsidR="003A5CF6">
        <w:rPr>
          <w:color w:val="212B32"/>
          <w:szCs w:val="24"/>
          <w:shd w:val="clear" w:color="auto" w:fill="FFFFFF"/>
        </w:rPr>
        <w:t>y be infectious 1 to 2 days before onset of symptoms</w:t>
      </w:r>
      <w:r w:rsidR="003E661C">
        <w:rPr>
          <w:color w:val="212B32"/>
          <w:szCs w:val="24"/>
          <w:shd w:val="clear" w:color="auto" w:fill="FFFFFF"/>
        </w:rPr>
        <w:t xml:space="preserve"> </w:t>
      </w:r>
      <w:r w:rsidR="00571110">
        <w:rPr>
          <w:color w:val="212B32"/>
          <w:szCs w:val="24"/>
          <w:shd w:val="clear" w:color="auto" w:fill="FFFFFF"/>
        </w:rPr>
        <w:t>and is more likely to spread to others in the first 5 days.</w:t>
      </w:r>
      <w:r w:rsidR="003A5CF6">
        <w:rPr>
          <w:color w:val="212B32"/>
          <w:szCs w:val="24"/>
          <w:shd w:val="clear" w:color="auto" w:fill="FFFFFF"/>
        </w:rPr>
        <w:t xml:space="preserve"> </w:t>
      </w:r>
      <w:r w:rsidR="003A5CF6" w:rsidRPr="0030357D">
        <w:t xml:space="preserve">The time from exposure to developing the first symptom (incubation period) is </w:t>
      </w:r>
      <w:r w:rsidR="003A5CF6">
        <w:t xml:space="preserve">typically </w:t>
      </w:r>
      <w:r w:rsidR="00C50939">
        <w:t>2</w:t>
      </w:r>
      <w:r w:rsidR="00571110">
        <w:t>-</w:t>
      </w:r>
      <w:r w:rsidR="003A5CF6">
        <w:t>5</w:t>
      </w:r>
      <w:r w:rsidR="003A5CF6" w:rsidRPr="0030357D">
        <w:t xml:space="preserve"> days</w:t>
      </w:r>
      <w:r w:rsidR="00571110">
        <w:t xml:space="preserve"> but can be as long as 8 days.</w:t>
      </w:r>
    </w:p>
    <w:p w14:paraId="54855364" w14:textId="7552C1E8" w:rsidR="0098777D" w:rsidRPr="003D54A1" w:rsidRDefault="00D8718D" w:rsidP="0098777D">
      <w:pPr>
        <w:rPr>
          <w:lang w:eastAsia="en-GB"/>
        </w:rPr>
      </w:pPr>
      <w:r w:rsidRPr="003D54A1">
        <w:rPr>
          <w:lang w:eastAsia="en-GB"/>
        </w:rPr>
        <w:t>Severely immunocompromised individuals may remain infectious for a longer period of time, even in the absence of symptoms</w:t>
      </w:r>
      <w:r w:rsidRPr="00D8718D">
        <w:rPr>
          <w:lang w:eastAsia="en-GB"/>
        </w:rPr>
        <w:t xml:space="preserve"> </w:t>
      </w:r>
      <w:r w:rsidRPr="003D54A1">
        <w:rPr>
          <w:lang w:eastAsia="en-GB"/>
        </w:rPr>
        <w:t xml:space="preserve">Refer to section </w:t>
      </w:r>
      <w:r w:rsidR="009C3DAD">
        <w:rPr>
          <w:lang w:eastAsia="en-GB"/>
        </w:rPr>
        <w:t>4</w:t>
      </w:r>
      <w:r w:rsidRPr="003D54A1">
        <w:rPr>
          <w:lang w:eastAsia="en-GB"/>
        </w:rPr>
        <w:t>.</w:t>
      </w:r>
      <w:r w:rsidR="009C3DAD">
        <w:rPr>
          <w:lang w:eastAsia="en-GB"/>
        </w:rPr>
        <w:t>2</w:t>
      </w:r>
      <w:r w:rsidRPr="003D54A1">
        <w:rPr>
          <w:lang w:eastAsia="en-GB"/>
        </w:rPr>
        <w:t xml:space="preserve"> duration of precautions, for further information</w:t>
      </w:r>
      <w:r>
        <w:rPr>
          <w:lang w:eastAsia="en-GB"/>
        </w:rPr>
        <w:t>.</w:t>
      </w:r>
    </w:p>
    <w:p w14:paraId="48BBFBE6" w14:textId="77777777" w:rsidR="003620C4" w:rsidRPr="003D54A1" w:rsidRDefault="003620C4" w:rsidP="00624E85">
      <w:pPr>
        <w:pStyle w:val="TOCheading3"/>
        <w:rPr>
          <w:lang w:val="en-GB" w:eastAsia="en-GB"/>
        </w:rPr>
      </w:pPr>
      <w:bookmarkStart w:id="3" w:name="_Toc124166182"/>
      <w:r w:rsidRPr="003D54A1">
        <w:rPr>
          <w:lang w:val="en-GB" w:eastAsia="en-GB"/>
        </w:rPr>
        <w:t>High risk groups/</w:t>
      </w:r>
      <w:r w:rsidR="000D762A" w:rsidRPr="003D54A1">
        <w:rPr>
          <w:lang w:val="en-GB" w:eastAsia="en-GB"/>
        </w:rPr>
        <w:t>individuals</w:t>
      </w:r>
      <w:bookmarkEnd w:id="3"/>
    </w:p>
    <w:p w14:paraId="6EBB7E38" w14:textId="0DBC8707" w:rsidR="003B6C47" w:rsidRPr="00503FC1" w:rsidRDefault="00816635" w:rsidP="00471025">
      <w:pPr>
        <w:jc w:val="both"/>
        <w:rPr>
          <w:color w:val="2F5496" w:themeColor="accent1" w:themeShade="BF"/>
        </w:rPr>
      </w:pPr>
      <w:r w:rsidRPr="003D54A1">
        <w:rPr>
          <w:lang w:eastAsia="en-GB"/>
        </w:rPr>
        <w:t xml:space="preserve">Individuals who are immunosuppressed or have certain medical conditions </w:t>
      </w:r>
      <w:r w:rsidR="00C43A45" w:rsidRPr="003D54A1">
        <w:rPr>
          <w:lang w:eastAsia="en-GB"/>
        </w:rPr>
        <w:t>may be at higher risk of contracting</w:t>
      </w:r>
      <w:r w:rsidR="003F54BA">
        <w:rPr>
          <w:lang w:eastAsia="en-GB"/>
        </w:rPr>
        <w:t xml:space="preserve"> ARI</w:t>
      </w:r>
      <w:r w:rsidR="00C43A45" w:rsidRPr="003D54A1">
        <w:rPr>
          <w:lang w:eastAsia="en-GB"/>
        </w:rPr>
        <w:t xml:space="preserve"> or at higher risk of serious illness</w:t>
      </w:r>
      <w:r w:rsidR="00FC57BF" w:rsidRPr="003D54A1">
        <w:rPr>
          <w:lang w:eastAsia="en-GB"/>
        </w:rPr>
        <w:t xml:space="preserve"> and complications</w:t>
      </w:r>
      <w:r w:rsidR="00C43A45" w:rsidRPr="003D54A1">
        <w:rPr>
          <w:lang w:eastAsia="en-GB"/>
        </w:rPr>
        <w:t>.</w:t>
      </w:r>
      <w:r w:rsidR="001F7DF5" w:rsidRPr="003D54A1">
        <w:rPr>
          <w:lang w:eastAsia="en-GB"/>
        </w:rPr>
        <w:t xml:space="preserve"> </w:t>
      </w:r>
      <w:r w:rsidR="001F7DF5" w:rsidRPr="003D54A1">
        <w:rPr>
          <w:shd w:val="clear" w:color="auto" w:fill="FFFFFF"/>
        </w:rPr>
        <w:t>A clinical risk assessment is required for those individuals considered to be high risk</w:t>
      </w:r>
      <w:r w:rsidR="003D54A1" w:rsidRPr="003D54A1">
        <w:t xml:space="preserve">. </w:t>
      </w:r>
      <w:r w:rsidR="00ED5B4E" w:rsidRPr="003D54A1">
        <w:rPr>
          <w:lang w:eastAsia="en-GB"/>
        </w:rPr>
        <w:t xml:space="preserve">- </w:t>
      </w:r>
      <w:hyperlink r:id="rId18" w:history="1">
        <w:r w:rsidR="00A77BD4" w:rsidRPr="00A77BD4">
          <w:rPr>
            <w:color w:val="0000FF"/>
            <w:u w:val="single"/>
          </w:rPr>
          <w:t>COVID-19 treatments | GOV.WALES</w:t>
        </w:r>
      </w:hyperlink>
    </w:p>
    <w:p w14:paraId="4E002B42" w14:textId="527BE025" w:rsidR="0098777D" w:rsidRPr="003D54A1" w:rsidRDefault="00ED5B4E" w:rsidP="00471025">
      <w:pPr>
        <w:jc w:val="both"/>
      </w:pPr>
      <w:r w:rsidRPr="003D54A1">
        <w:t xml:space="preserve">Additionally, individuals </w:t>
      </w:r>
      <w:r w:rsidR="00760688" w:rsidRPr="003D54A1">
        <w:t xml:space="preserve">who are unvaccinated or partially vaccinated </w:t>
      </w:r>
      <w:r w:rsidR="003F54BA">
        <w:t>for COVID</w:t>
      </w:r>
      <w:r w:rsidR="00514479">
        <w:t>-19</w:t>
      </w:r>
      <w:r w:rsidR="003F54BA">
        <w:t xml:space="preserve"> or </w:t>
      </w:r>
      <w:r w:rsidR="00DE008D">
        <w:t xml:space="preserve">unvaccinated for </w:t>
      </w:r>
      <w:r w:rsidR="003F54BA">
        <w:t>Flu</w:t>
      </w:r>
      <w:r w:rsidR="009C3DAD">
        <w:t xml:space="preserve"> or</w:t>
      </w:r>
      <w:r w:rsidR="00DE008D">
        <w:t xml:space="preserve"> RSV</w:t>
      </w:r>
      <w:r w:rsidR="00376265">
        <w:t xml:space="preserve"> (</w:t>
      </w:r>
      <w:r w:rsidR="00DE008D">
        <w:t xml:space="preserve">in infants) </w:t>
      </w:r>
      <w:r w:rsidR="00760688" w:rsidRPr="003D54A1">
        <w:t>are at higher risk of infection and serious illness.</w:t>
      </w:r>
      <w:r w:rsidR="00A77BD4" w:rsidRPr="00A77BD4">
        <w:t xml:space="preserve"> </w:t>
      </w:r>
    </w:p>
    <w:p w14:paraId="7B37EE6B" w14:textId="77777777" w:rsidR="000A1BB8" w:rsidRPr="003D54A1" w:rsidRDefault="000D762A" w:rsidP="000D762A">
      <w:pPr>
        <w:pStyle w:val="TOCheading3"/>
        <w:rPr>
          <w:lang w:val="en-GB" w:eastAsia="en-GB"/>
        </w:rPr>
      </w:pPr>
      <w:bookmarkStart w:id="4" w:name="_Toc124166183"/>
      <w:r w:rsidRPr="003D54A1">
        <w:rPr>
          <w:lang w:val="en-GB" w:eastAsia="en-GB"/>
        </w:rPr>
        <w:t>High risk settings</w:t>
      </w:r>
      <w:bookmarkEnd w:id="4"/>
    </w:p>
    <w:p w14:paraId="2BC26F91" w14:textId="782820AD" w:rsidR="00C06541" w:rsidRPr="003D54A1" w:rsidRDefault="00EF1468" w:rsidP="00471025">
      <w:pPr>
        <w:jc w:val="both"/>
        <w:rPr>
          <w:lang w:eastAsia="en-GB"/>
        </w:rPr>
      </w:pPr>
      <w:r w:rsidRPr="003D54A1">
        <w:rPr>
          <w:lang w:eastAsia="en-GB"/>
        </w:rPr>
        <w:t xml:space="preserve">High risk settings </w:t>
      </w:r>
      <w:r w:rsidR="00CD6325" w:rsidRPr="003D54A1">
        <w:rPr>
          <w:lang w:eastAsia="en-GB"/>
        </w:rPr>
        <w:t xml:space="preserve">for ongoing transmission of </w:t>
      </w:r>
      <w:r w:rsidR="003F54BA">
        <w:rPr>
          <w:lang w:eastAsia="en-GB"/>
        </w:rPr>
        <w:t xml:space="preserve">ARI </w:t>
      </w:r>
      <w:r w:rsidRPr="003D54A1">
        <w:rPr>
          <w:lang w:eastAsia="en-GB"/>
        </w:rPr>
        <w:t xml:space="preserve">are those that cannot </w:t>
      </w:r>
      <w:r w:rsidR="00C06541" w:rsidRPr="003D54A1">
        <w:rPr>
          <w:lang w:eastAsia="en-GB"/>
        </w:rPr>
        <w:t xml:space="preserve">mitigate the risk of transmission through the </w:t>
      </w:r>
      <w:r w:rsidR="00C30784" w:rsidRPr="003D54A1">
        <w:rPr>
          <w:lang w:eastAsia="en-GB"/>
        </w:rPr>
        <w:t xml:space="preserve">application of the </w:t>
      </w:r>
      <w:r w:rsidR="00C06541" w:rsidRPr="003D54A1">
        <w:rPr>
          <w:lang w:eastAsia="en-GB"/>
        </w:rPr>
        <w:t>hierarchy of controls</w:t>
      </w:r>
      <w:r w:rsidR="000172A2" w:rsidRPr="003D54A1">
        <w:rPr>
          <w:lang w:eastAsia="en-GB"/>
        </w:rPr>
        <w:t xml:space="preserve"> (HoC)</w:t>
      </w:r>
      <w:r w:rsidR="00C06541" w:rsidRPr="003D54A1">
        <w:rPr>
          <w:lang w:eastAsia="en-GB"/>
        </w:rPr>
        <w:t>.</w:t>
      </w:r>
      <w:r w:rsidR="008D383A" w:rsidRPr="003D54A1">
        <w:rPr>
          <w:lang w:eastAsia="en-GB"/>
        </w:rPr>
        <w:t xml:space="preserve"> </w:t>
      </w:r>
      <w:r w:rsidR="00CD6325" w:rsidRPr="003D54A1">
        <w:rPr>
          <w:lang w:eastAsia="en-GB"/>
        </w:rPr>
        <w:t xml:space="preserve"> </w:t>
      </w:r>
    </w:p>
    <w:p w14:paraId="7C2E9E51" w14:textId="04BC9A66" w:rsidR="0098777D" w:rsidRPr="00471025" w:rsidRDefault="005B542A" w:rsidP="00503FC1">
      <w:pPr>
        <w:rPr>
          <w:color w:val="0000FF"/>
          <w:u w:val="single"/>
        </w:rPr>
      </w:pPr>
      <w:r w:rsidRPr="003D54A1">
        <w:t>Setting-specific risk assessment tools</w:t>
      </w:r>
      <w:r w:rsidR="003B1716" w:rsidRPr="003D54A1">
        <w:t xml:space="preserve"> (acute sector, community / primary care and care home sector)</w:t>
      </w:r>
      <w:r w:rsidRPr="003D54A1">
        <w:t xml:space="preserve"> are available to support organisations in applying the HoC</w:t>
      </w:r>
      <w:r w:rsidR="00BB7126" w:rsidRPr="003D54A1">
        <w:t xml:space="preserve"> - </w:t>
      </w:r>
      <w:hyperlink r:id="rId19" w:history="1">
        <w:r w:rsidR="00D60060" w:rsidRPr="00D60060">
          <w:rPr>
            <w:rStyle w:val="Hyperlink"/>
            <w:color w:val="2F5496" w:themeColor="accent1" w:themeShade="BF"/>
          </w:rPr>
          <w:t>Criteria for completing a local risk assessment (acute inpatient areas)</w:t>
        </w:r>
      </w:hyperlink>
      <w:r w:rsidR="00290465">
        <w:rPr>
          <w:rStyle w:val="Hyperlink"/>
          <w:color w:val="2F5496" w:themeColor="accent1" w:themeShade="BF"/>
        </w:rPr>
        <w:t xml:space="preserve"> </w:t>
      </w:r>
      <w:r w:rsidR="00471025">
        <w:rPr>
          <w:color w:val="0000FF"/>
          <w:u w:val="single"/>
        </w:rPr>
        <w:t>M</w:t>
      </w:r>
      <w:r w:rsidR="00471025" w:rsidRPr="00471025">
        <w:rPr>
          <w:color w:val="0000FF"/>
          <w:u w:val="single"/>
        </w:rPr>
        <w:t>anaging risk using PPE - Using personal protective equipment (PPE) to control risks at work - HSE</w:t>
      </w:r>
    </w:p>
    <w:p w14:paraId="4C98BA6D" w14:textId="77777777" w:rsidR="00503FC1" w:rsidRDefault="00503FC1" w:rsidP="00503FC1">
      <w:pPr>
        <w:rPr>
          <w:rFonts w:ascii="Verdana" w:hAnsi="Verdana"/>
          <w:color w:val="002060"/>
          <w:sz w:val="18"/>
          <w:szCs w:val="18"/>
        </w:rPr>
      </w:pPr>
    </w:p>
    <w:p w14:paraId="1A34B500" w14:textId="48F9F4B1" w:rsidR="00526AD6" w:rsidRPr="003D54A1" w:rsidRDefault="00FE38B0" w:rsidP="00503FC1">
      <w:pPr>
        <w:pStyle w:val="TOCheading2"/>
        <w:ind w:left="501"/>
        <w:rPr>
          <w:lang w:val="en-GB" w:eastAsia="en-GB"/>
        </w:rPr>
      </w:pPr>
      <w:bookmarkStart w:id="5" w:name="_Toc124166184"/>
      <w:r w:rsidRPr="003D54A1">
        <w:rPr>
          <w:lang w:val="en-GB" w:eastAsia="en-GB"/>
        </w:rPr>
        <w:lastRenderedPageBreak/>
        <w:t xml:space="preserve">Triaging and Testing for </w:t>
      </w:r>
      <w:r w:rsidR="003F54BA">
        <w:rPr>
          <w:lang w:val="en-GB" w:eastAsia="en-GB"/>
        </w:rPr>
        <w:t>Acute Respiratory Viral Infection</w:t>
      </w:r>
      <w:bookmarkEnd w:id="5"/>
      <w:r w:rsidR="005629D7">
        <w:rPr>
          <w:lang w:val="en-GB" w:eastAsia="en-GB"/>
        </w:rPr>
        <w:t xml:space="preserve"> </w:t>
      </w:r>
    </w:p>
    <w:p w14:paraId="73108CD3" w14:textId="77777777" w:rsidR="00FE38B0" w:rsidRPr="003D54A1" w:rsidRDefault="00FE38B0" w:rsidP="00FE38B0">
      <w:pPr>
        <w:pStyle w:val="TOCheading3"/>
        <w:rPr>
          <w:lang w:val="en-GB" w:eastAsia="en-GB"/>
        </w:rPr>
      </w:pPr>
      <w:bookmarkStart w:id="6" w:name="_Toc124166185"/>
      <w:r w:rsidRPr="003D54A1">
        <w:rPr>
          <w:lang w:val="en-GB" w:eastAsia="en-GB"/>
        </w:rPr>
        <w:t>Triaging</w:t>
      </w:r>
      <w:r w:rsidR="00944F0B" w:rsidRPr="003D54A1">
        <w:rPr>
          <w:lang w:val="en-GB" w:eastAsia="en-GB"/>
        </w:rPr>
        <w:t>/assessment of infection risk</w:t>
      </w:r>
      <w:bookmarkEnd w:id="6"/>
    </w:p>
    <w:p w14:paraId="5CF773F6" w14:textId="7C261414" w:rsidR="004579D6" w:rsidRPr="003D54A1" w:rsidRDefault="004579D6" w:rsidP="003732DF">
      <w:pPr>
        <w:jc w:val="both"/>
      </w:pPr>
      <w:r w:rsidRPr="003D54A1">
        <w:t xml:space="preserve">Triaging within all healthcare facilities </w:t>
      </w:r>
      <w:r w:rsidR="001F7DF5" w:rsidRPr="003D54A1">
        <w:t xml:space="preserve">should </w:t>
      </w:r>
      <w:r w:rsidRPr="003D54A1">
        <w:t xml:space="preserve">be undertaken to enable early recognition of patients with </w:t>
      </w:r>
      <w:r w:rsidR="001024B5">
        <w:t>acute</w:t>
      </w:r>
      <w:r w:rsidR="00250C27">
        <w:t xml:space="preserve"> respiratory viral </w:t>
      </w:r>
      <w:r w:rsidR="001024B5">
        <w:t>infections.</w:t>
      </w:r>
      <w:r w:rsidR="001024B5" w:rsidRPr="003D54A1">
        <w:t xml:space="preserve"> Triage</w:t>
      </w:r>
      <w:r w:rsidRPr="003D54A1">
        <w:t xml:space="preserve"> should be undertaken by clinical staff who are trained and competent in the application of clinical case definitions as soon as possible on arrival</w:t>
      </w:r>
      <w:r w:rsidR="001F7DF5" w:rsidRPr="003D54A1">
        <w:t xml:space="preserve"> </w:t>
      </w:r>
      <w:r w:rsidRPr="003D54A1">
        <w:t>and used to inform patient placement.</w:t>
      </w:r>
    </w:p>
    <w:p w14:paraId="1C288135" w14:textId="2A935011" w:rsidR="004579D6" w:rsidRDefault="004579D6" w:rsidP="003732DF">
      <w:pPr>
        <w:jc w:val="both"/>
      </w:pPr>
      <w:r w:rsidRPr="003D54A1">
        <w:t xml:space="preserve">Patients with </w:t>
      </w:r>
      <w:r w:rsidR="001F7DF5" w:rsidRPr="003D54A1">
        <w:t xml:space="preserve">respiratory infection </w:t>
      </w:r>
      <w:r w:rsidRPr="003D54A1">
        <w:t>symptoms</w:t>
      </w:r>
      <w:r w:rsidR="001F7DF5" w:rsidRPr="003D54A1">
        <w:t xml:space="preserve"> </w:t>
      </w:r>
      <w:r w:rsidRPr="003D54A1">
        <w:t>should be assessed in a segregated area, ideally a single room, and away from other patients pending their test result.</w:t>
      </w:r>
    </w:p>
    <w:p w14:paraId="70736B86" w14:textId="1578AD19" w:rsidR="00EA64A4" w:rsidRPr="003D54A1" w:rsidRDefault="00EA64A4" w:rsidP="003732DF">
      <w:pPr>
        <w:jc w:val="both"/>
      </w:pPr>
      <w:r w:rsidRPr="00435100">
        <w:t>At times of high levels of respiratory infectious illness, it may be worth segregating unscheduled / emergency admissions into respiratory and non-respiratory pathways, ensuring that separation of patients (single room assessment areas ideally), ventilation and use of FRSM masks by all staff are optimised in the respiratory pathway.</w:t>
      </w:r>
    </w:p>
    <w:p w14:paraId="58F183C0" w14:textId="77777777" w:rsidR="00FE38B0" w:rsidRPr="003D54A1" w:rsidRDefault="00FE38B0" w:rsidP="00FE38B0">
      <w:pPr>
        <w:pStyle w:val="TOCheading3"/>
        <w:rPr>
          <w:lang w:val="en-GB" w:eastAsia="en-GB"/>
        </w:rPr>
      </w:pPr>
      <w:bookmarkStart w:id="7" w:name="_Toc124166186"/>
      <w:r w:rsidRPr="003D54A1">
        <w:rPr>
          <w:lang w:val="en-GB" w:eastAsia="en-GB"/>
        </w:rPr>
        <w:t>Testing</w:t>
      </w:r>
      <w:bookmarkEnd w:id="7"/>
    </w:p>
    <w:p w14:paraId="1F3C84D8" w14:textId="5DAE8852" w:rsidR="00AD2582" w:rsidRDefault="00170C28" w:rsidP="00BD4FFD">
      <w:pPr>
        <w:rPr>
          <w:shd w:val="clear" w:color="auto" w:fill="FFFFFF"/>
        </w:rPr>
      </w:pPr>
      <w:r w:rsidRPr="003D54A1">
        <w:rPr>
          <w:shd w:val="clear" w:color="auto" w:fill="FFFFFF"/>
        </w:rPr>
        <w:t xml:space="preserve">Testing for patients and staff should be performed as </w:t>
      </w:r>
      <w:r w:rsidR="009F7A73" w:rsidRPr="003D54A1">
        <w:rPr>
          <w:shd w:val="clear" w:color="auto" w:fill="FFFFFF"/>
        </w:rPr>
        <w:t xml:space="preserve">per current guidance, see </w:t>
      </w:r>
      <w:r w:rsidR="00AD2582">
        <w:rPr>
          <w:shd w:val="clear" w:color="auto" w:fill="FFFFFF"/>
        </w:rPr>
        <w:t>–</w:t>
      </w:r>
    </w:p>
    <w:bookmarkStart w:id="8" w:name="_Hlk146809164"/>
    <w:p w14:paraId="4458511D" w14:textId="22E69724" w:rsidR="00BD4FFD" w:rsidRPr="003D54A1" w:rsidRDefault="0037304A" w:rsidP="00BD4FFD">
      <w:pPr>
        <w:rPr>
          <w:shd w:val="clear" w:color="auto" w:fill="FFFFFF"/>
        </w:rPr>
      </w:pPr>
      <w:r w:rsidRPr="0037304A">
        <w:fldChar w:fldCharType="begin"/>
      </w:r>
      <w:r w:rsidRPr="0037304A">
        <w:instrText xml:space="preserve"> HYPERLINK "https://www.gov.wales/patient-testing-framework-autumnwinter-2023-whc2023037" </w:instrText>
      </w:r>
      <w:r w:rsidRPr="0037304A">
        <w:fldChar w:fldCharType="separate"/>
      </w:r>
      <w:r w:rsidRPr="0037304A">
        <w:rPr>
          <w:color w:val="0000FF"/>
          <w:u w:val="single"/>
        </w:rPr>
        <w:t>Patient testing framework for autumn/winter 2023 (WHC/2023/037) | GOV.WALES</w:t>
      </w:r>
      <w:r w:rsidRPr="0037304A">
        <w:fldChar w:fldCharType="end"/>
      </w:r>
    </w:p>
    <w:bookmarkEnd w:id="8"/>
    <w:p w14:paraId="4A6C51BA" w14:textId="77777777" w:rsidR="006A3D0A" w:rsidRPr="00503FC1" w:rsidRDefault="00947219" w:rsidP="00BD4FFD">
      <w:pPr>
        <w:rPr>
          <w:color w:val="2F5496" w:themeColor="accent1" w:themeShade="BF"/>
          <w:lang w:eastAsia="en-GB"/>
        </w:rPr>
      </w:pPr>
      <w:r>
        <w:fldChar w:fldCharType="begin"/>
      </w:r>
      <w:r>
        <w:instrText>HYPERLINK "https://gov.wales/covid-19-contacts-guidance-health-and-social-care-staff"</w:instrText>
      </w:r>
      <w:r>
        <w:fldChar w:fldCharType="separate"/>
      </w:r>
      <w:r w:rsidR="006A3D0A" w:rsidRPr="00503FC1">
        <w:rPr>
          <w:rStyle w:val="Hyperlink"/>
          <w:color w:val="2F5496" w:themeColor="accent1" w:themeShade="BF"/>
          <w:lang w:eastAsia="en-GB"/>
        </w:rPr>
        <w:t>COVID-19 contacts: guidance for health and social care staff | GOV.WALES</w:t>
      </w:r>
      <w:r>
        <w:rPr>
          <w:rStyle w:val="Hyperlink"/>
          <w:color w:val="2F5496" w:themeColor="accent1" w:themeShade="BF"/>
          <w:lang w:eastAsia="en-GB"/>
        </w:rPr>
        <w:fldChar w:fldCharType="end"/>
      </w:r>
    </w:p>
    <w:p w14:paraId="38882C54" w14:textId="4A00E2B3" w:rsidR="001F7DF5" w:rsidRDefault="005629D7" w:rsidP="00BD4FFD">
      <w:pPr>
        <w:rPr>
          <w:lang w:eastAsia="en-GB"/>
        </w:rPr>
      </w:pPr>
      <w:r>
        <w:rPr>
          <w:lang w:eastAsia="en-GB"/>
        </w:rPr>
        <w:t>This includes guidance on testing to exclude other respiratory pathogens in symptomatic patients.</w:t>
      </w:r>
    </w:p>
    <w:p w14:paraId="0135F7AE" w14:textId="43B21498" w:rsidR="00D05490" w:rsidRPr="00435100" w:rsidRDefault="001E73B3" w:rsidP="0054035C">
      <w:pPr>
        <w:pStyle w:val="TOCheading3"/>
        <w:rPr>
          <w:lang w:eastAsia="en-GB"/>
        </w:rPr>
      </w:pPr>
      <w:bookmarkStart w:id="9" w:name="_Toc124166187"/>
      <w:r w:rsidRPr="00435100">
        <w:rPr>
          <w:lang w:eastAsia="en-GB"/>
        </w:rPr>
        <w:t>Cohorting</w:t>
      </w:r>
      <w:bookmarkEnd w:id="9"/>
    </w:p>
    <w:p w14:paraId="21CCF492" w14:textId="24331C69" w:rsidR="001E73B3" w:rsidRPr="00435100" w:rsidRDefault="001E73B3" w:rsidP="00FD325B">
      <w:pPr>
        <w:pStyle w:val="TOCheading3"/>
        <w:numPr>
          <w:ilvl w:val="0"/>
          <w:numId w:val="0"/>
        </w:numPr>
        <w:jc w:val="both"/>
        <w:rPr>
          <w:rFonts w:eastAsiaTheme="minorHAnsi" w:cstheme="minorBidi"/>
          <w:color w:val="auto"/>
          <w:sz w:val="24"/>
          <w:szCs w:val="24"/>
          <w:shd w:val="clear" w:color="auto" w:fill="FFFFFF"/>
          <w:lang w:val="en-GB"/>
        </w:rPr>
      </w:pPr>
      <w:bookmarkStart w:id="10" w:name="_Toc124166188"/>
      <w:r w:rsidRPr="00435100">
        <w:rPr>
          <w:rFonts w:eastAsiaTheme="minorHAnsi" w:cstheme="minorBidi"/>
          <w:color w:val="auto"/>
          <w:sz w:val="24"/>
          <w:szCs w:val="24"/>
          <w:shd w:val="clear" w:color="auto" w:fill="FFFFFF"/>
          <w:lang w:val="en-GB"/>
        </w:rPr>
        <w:t>Once test results are available</w:t>
      </w:r>
      <w:r w:rsidR="00EA64A4" w:rsidRPr="00435100">
        <w:rPr>
          <w:rFonts w:eastAsiaTheme="minorHAnsi" w:cstheme="minorBidi"/>
          <w:color w:val="auto"/>
          <w:sz w:val="24"/>
          <w:szCs w:val="24"/>
          <w:shd w:val="clear" w:color="auto" w:fill="FFFFFF"/>
          <w:lang w:val="en-GB"/>
        </w:rPr>
        <w:t xml:space="preserve"> infectious patients should ideally be isolated in single rooms away from other patients. Where infectious cases exceed single room capacity cohorting of patients may be implemented and should be according to </w:t>
      </w:r>
      <w:r w:rsidR="00EA64A4" w:rsidRPr="00435100">
        <w:rPr>
          <w:rFonts w:eastAsiaTheme="minorHAnsi" w:cstheme="minorBidi"/>
          <w:color w:val="000000" w:themeColor="text1"/>
          <w:sz w:val="24"/>
          <w:szCs w:val="24"/>
          <w:shd w:val="clear" w:color="auto" w:fill="FFFFFF"/>
          <w:lang w:val="en-GB"/>
        </w:rPr>
        <w:t>infecting organism. Patients with different infections should not be cohorted together</w:t>
      </w:r>
      <w:r w:rsidR="001B7C73" w:rsidRPr="00435100">
        <w:rPr>
          <w:rFonts w:eastAsiaTheme="minorHAnsi" w:cstheme="minorBidi"/>
          <w:color w:val="000000" w:themeColor="text1"/>
          <w:sz w:val="24"/>
          <w:szCs w:val="24"/>
          <w:shd w:val="clear" w:color="auto" w:fill="FFFFFF"/>
          <w:lang w:val="en-GB"/>
        </w:rPr>
        <w:t xml:space="preserve"> and w</w:t>
      </w:r>
      <w:r w:rsidR="001B7C73" w:rsidRPr="00435100">
        <w:rPr>
          <w:rFonts w:eastAsiaTheme="minorHAnsi" w:cstheme="minorBidi"/>
          <w:color w:val="000000" w:themeColor="text1"/>
          <w:sz w:val="24"/>
          <w:szCs w:val="24"/>
          <w:lang w:val="en-GB"/>
        </w:rPr>
        <w:t xml:space="preserve">here a patient tests positive for more than one ARI </w:t>
      </w:r>
      <w:r w:rsidR="0099012C" w:rsidRPr="00435100">
        <w:rPr>
          <w:rFonts w:eastAsiaTheme="minorHAnsi" w:cstheme="minorBidi"/>
          <w:color w:val="000000" w:themeColor="text1"/>
          <w:sz w:val="24"/>
          <w:szCs w:val="24"/>
          <w:lang w:val="en-GB"/>
        </w:rPr>
        <w:t>e.g.,</w:t>
      </w:r>
      <w:r w:rsidR="001B7C73" w:rsidRPr="00435100">
        <w:rPr>
          <w:rFonts w:eastAsiaTheme="minorHAnsi" w:cstheme="minorBidi"/>
          <w:color w:val="000000" w:themeColor="text1"/>
          <w:sz w:val="24"/>
          <w:szCs w:val="24"/>
          <w:lang w:val="en-GB"/>
        </w:rPr>
        <w:t xml:space="preserve"> Flu and COVID-19 then </w:t>
      </w:r>
      <w:r w:rsidR="001B7C73" w:rsidRPr="00435100">
        <w:rPr>
          <w:rFonts w:eastAsiaTheme="minorHAnsi" w:cstheme="minorBidi"/>
          <w:color w:val="000000" w:themeColor="text1"/>
          <w:sz w:val="24"/>
          <w:szCs w:val="24"/>
          <w:shd w:val="clear" w:color="auto" w:fill="FFFFFF"/>
          <w:lang w:val="en-GB"/>
        </w:rPr>
        <w:t>single room isolation should be prioritised.</w:t>
      </w:r>
      <w:bookmarkEnd w:id="10"/>
      <w:r w:rsidR="001B7C73" w:rsidRPr="00435100">
        <w:rPr>
          <w:rFonts w:eastAsiaTheme="minorHAnsi" w:cstheme="minorBidi"/>
          <w:color w:val="000000" w:themeColor="text1"/>
          <w:sz w:val="24"/>
          <w:szCs w:val="24"/>
          <w:shd w:val="clear" w:color="auto" w:fill="FFFFFF"/>
          <w:lang w:val="en-GB"/>
        </w:rPr>
        <w:t xml:space="preserve"> </w:t>
      </w:r>
    </w:p>
    <w:p w14:paraId="28D8FA72" w14:textId="7EF7FE6A" w:rsidR="00EA64A4" w:rsidRPr="00435100" w:rsidRDefault="00EA64A4" w:rsidP="0054035C">
      <w:pPr>
        <w:pStyle w:val="TOCheading3"/>
        <w:numPr>
          <w:ilvl w:val="0"/>
          <w:numId w:val="0"/>
        </w:numPr>
        <w:rPr>
          <w:rFonts w:eastAsiaTheme="minorHAnsi" w:cstheme="minorBidi"/>
          <w:color w:val="auto"/>
          <w:sz w:val="24"/>
          <w:szCs w:val="24"/>
          <w:shd w:val="clear" w:color="auto" w:fill="FFFFFF"/>
          <w:lang w:val="en-GB"/>
        </w:rPr>
      </w:pPr>
      <w:bookmarkStart w:id="11" w:name="_Toc124166189"/>
      <w:r w:rsidRPr="00435100">
        <w:rPr>
          <w:rFonts w:eastAsiaTheme="minorHAnsi" w:cstheme="minorBidi"/>
          <w:color w:val="auto"/>
          <w:sz w:val="24"/>
          <w:szCs w:val="24"/>
          <w:shd w:val="clear" w:color="auto" w:fill="FFFFFF"/>
          <w:lang w:val="en-GB"/>
        </w:rPr>
        <w:t xml:space="preserve">In order to ensure the most appropriate clinical care for patients, cohort areas should be set up within the specialty area where the required clinical care is best provided. Patients should not be moved to a “respiratory ward” cohort area simply on the basis of a test </w:t>
      </w:r>
      <w:r w:rsidR="00076463" w:rsidRPr="00435100">
        <w:rPr>
          <w:rFonts w:eastAsiaTheme="minorHAnsi" w:cstheme="minorBidi"/>
          <w:color w:val="auto"/>
          <w:sz w:val="24"/>
          <w:szCs w:val="24"/>
          <w:shd w:val="clear" w:color="auto" w:fill="FFFFFF"/>
          <w:lang w:val="en-GB"/>
        </w:rPr>
        <w:t>result but</w:t>
      </w:r>
      <w:r w:rsidRPr="00435100">
        <w:rPr>
          <w:rFonts w:eastAsiaTheme="minorHAnsi" w:cstheme="minorBidi"/>
          <w:color w:val="auto"/>
          <w:sz w:val="24"/>
          <w:szCs w:val="24"/>
          <w:shd w:val="clear" w:color="auto" w:fill="FFFFFF"/>
          <w:lang w:val="en-GB"/>
        </w:rPr>
        <w:t xml:space="preserve"> may need to be moved if clinically they require enhanced respiratory management.</w:t>
      </w:r>
      <w:bookmarkEnd w:id="11"/>
    </w:p>
    <w:p w14:paraId="1F05D4E1" w14:textId="77777777" w:rsidR="00D05490" w:rsidRPr="003D54A1" w:rsidRDefault="00D05490" w:rsidP="00BD4FFD">
      <w:pPr>
        <w:rPr>
          <w:lang w:eastAsia="en-GB"/>
        </w:rPr>
      </w:pPr>
    </w:p>
    <w:p w14:paraId="5B197199" w14:textId="4C482ED1" w:rsidR="0003487B" w:rsidRPr="003D54A1" w:rsidRDefault="006D73ED" w:rsidP="0003487B">
      <w:pPr>
        <w:pStyle w:val="TOCheading2"/>
        <w:rPr>
          <w:lang w:val="en-GB"/>
        </w:rPr>
      </w:pPr>
      <w:bookmarkStart w:id="12" w:name="_Toc124166190"/>
      <w:r w:rsidRPr="003D54A1">
        <w:rPr>
          <w:lang w:val="en-GB"/>
        </w:rPr>
        <w:t xml:space="preserve">Additional </w:t>
      </w:r>
      <w:r w:rsidR="0003487B" w:rsidRPr="003D54A1">
        <w:rPr>
          <w:lang w:val="en-GB"/>
        </w:rPr>
        <w:t xml:space="preserve">Infection Prevention and Control Measures for </w:t>
      </w:r>
      <w:r w:rsidR="003A5CF6">
        <w:rPr>
          <w:lang w:val="en-GB"/>
        </w:rPr>
        <w:t xml:space="preserve"> ARI </w:t>
      </w:r>
      <w:r w:rsidR="0003487B" w:rsidRPr="003D54A1">
        <w:rPr>
          <w:lang w:val="en-GB"/>
        </w:rPr>
        <w:t>in healthcare settings</w:t>
      </w:r>
      <w:bookmarkEnd w:id="12"/>
    </w:p>
    <w:p w14:paraId="7A27E7AD" w14:textId="77777777" w:rsidR="004852F3" w:rsidRPr="003D54A1" w:rsidRDefault="004852F3" w:rsidP="00527B31"/>
    <w:p w14:paraId="67EFC3AB" w14:textId="723A9A1E" w:rsidR="00A83F33" w:rsidRPr="003D54A1" w:rsidRDefault="00930000" w:rsidP="00FD325B">
      <w:pPr>
        <w:jc w:val="both"/>
      </w:pPr>
      <w:r w:rsidRPr="003D54A1">
        <w:t xml:space="preserve">The </w:t>
      </w:r>
      <w:r w:rsidR="00D943D1" w:rsidRPr="003D54A1">
        <w:t xml:space="preserve">application of </w:t>
      </w:r>
      <w:r w:rsidR="000172A2" w:rsidRPr="003D54A1">
        <w:t xml:space="preserve">SICPs and </w:t>
      </w:r>
      <w:r w:rsidR="00D943D1" w:rsidRPr="003D54A1">
        <w:t xml:space="preserve">TBPs </w:t>
      </w:r>
      <w:r w:rsidR="007C1C7B" w:rsidRPr="003D54A1">
        <w:t>as per chapter</w:t>
      </w:r>
      <w:r w:rsidR="000172A2" w:rsidRPr="003D54A1">
        <w:t>s 1 and</w:t>
      </w:r>
      <w:r w:rsidR="007C1C7B" w:rsidRPr="003D54A1">
        <w:t xml:space="preserve"> </w:t>
      </w:r>
      <w:r w:rsidR="001F7DF5" w:rsidRPr="003D54A1">
        <w:t>2</w:t>
      </w:r>
      <w:r w:rsidR="007C1C7B" w:rsidRPr="003D54A1">
        <w:t xml:space="preserve"> of the </w:t>
      </w:r>
      <w:hyperlink r:id="rId20" w:history="1">
        <w:r w:rsidR="00046966" w:rsidRPr="00503FC1">
          <w:rPr>
            <w:rStyle w:val="Hyperlink"/>
            <w:color w:val="2F5496" w:themeColor="accent1" w:themeShade="BF"/>
          </w:rPr>
          <w:t>NIPCM</w:t>
        </w:r>
        <w:r w:rsidR="007C23A2" w:rsidRPr="00503FC1">
          <w:rPr>
            <w:rStyle w:val="Hyperlink"/>
            <w:color w:val="2F5496" w:themeColor="accent1" w:themeShade="BF"/>
          </w:rPr>
          <w:t xml:space="preserve"> </w:t>
        </w:r>
        <w:r w:rsidR="00FF2679" w:rsidRPr="00503FC1">
          <w:rPr>
            <w:rStyle w:val="Hyperlink"/>
            <w:color w:val="2F5496" w:themeColor="accent1" w:themeShade="BF"/>
          </w:rPr>
          <w:t>for</w:t>
        </w:r>
        <w:r w:rsidR="00046966" w:rsidRPr="00503FC1">
          <w:rPr>
            <w:rStyle w:val="Hyperlink"/>
            <w:color w:val="2F5496" w:themeColor="accent1" w:themeShade="BF"/>
          </w:rPr>
          <w:t xml:space="preserve"> Wales</w:t>
        </w:r>
      </w:hyperlink>
      <w:r w:rsidR="00E63498" w:rsidRPr="00503FC1">
        <w:rPr>
          <w:color w:val="2F5496" w:themeColor="accent1" w:themeShade="BF"/>
        </w:rPr>
        <w:t xml:space="preserve"> </w:t>
      </w:r>
      <w:r w:rsidR="007C1C7B" w:rsidRPr="003D54A1">
        <w:t>should be followed</w:t>
      </w:r>
      <w:r w:rsidR="001F7DF5" w:rsidRPr="003D54A1">
        <w:t xml:space="preserve">. </w:t>
      </w:r>
      <w:r w:rsidR="001B66EA" w:rsidRPr="003D54A1">
        <w:t xml:space="preserve"> </w:t>
      </w:r>
      <w:r w:rsidR="001F7DF5" w:rsidRPr="003D54A1">
        <w:t>R</w:t>
      </w:r>
      <w:r w:rsidR="001B66EA" w:rsidRPr="003D54A1">
        <w:t xml:space="preserve">efer to </w:t>
      </w:r>
      <w:hyperlink r:id="rId21" w:history="1">
        <w:r w:rsidR="00FF2679" w:rsidRPr="00503FC1">
          <w:rPr>
            <w:rStyle w:val="Hyperlink"/>
            <w:color w:val="2F5496" w:themeColor="accent1" w:themeShade="BF"/>
          </w:rPr>
          <w:t>A to Z of pathogens</w:t>
        </w:r>
      </w:hyperlink>
      <w:r w:rsidR="00FF2679" w:rsidRPr="00503FC1">
        <w:rPr>
          <w:color w:val="2F5496" w:themeColor="accent1" w:themeShade="BF"/>
        </w:rPr>
        <w:t xml:space="preserve"> </w:t>
      </w:r>
      <w:r w:rsidR="001B66EA" w:rsidRPr="003D54A1">
        <w:t>for p</w:t>
      </w:r>
      <w:r w:rsidR="00D161DB" w:rsidRPr="003D54A1">
        <w:t>athogen specific</w:t>
      </w:r>
      <w:r w:rsidR="00FF2679" w:rsidRPr="003D54A1">
        <w:t xml:space="preserve"> information </w:t>
      </w:r>
      <w:r w:rsidR="00FF2679" w:rsidRPr="003D54A1">
        <w:lastRenderedPageBreak/>
        <w:t>and Appendix 11 for</w:t>
      </w:r>
      <w:r w:rsidR="00D161DB" w:rsidRPr="003D54A1">
        <w:t xml:space="preserve"> guidance </w:t>
      </w:r>
      <w:r w:rsidR="001B66EA" w:rsidRPr="003D54A1">
        <w:t>on</w:t>
      </w:r>
      <w:r w:rsidR="00D161DB" w:rsidRPr="003D54A1">
        <w:t xml:space="preserve"> patient placement and the use of RPE</w:t>
      </w:r>
      <w:r w:rsidR="001B66EA" w:rsidRPr="003D54A1">
        <w:t>.</w:t>
      </w:r>
      <w:r w:rsidR="00A83F33" w:rsidRPr="003D54A1">
        <w:t xml:space="preserve"> </w:t>
      </w:r>
      <w:hyperlink r:id="rId22" w:history="1">
        <w:r w:rsidR="00A83F33" w:rsidRPr="00503FC1">
          <w:rPr>
            <w:rStyle w:val="Hyperlink"/>
            <w:color w:val="2F5496" w:themeColor="accent1" w:themeShade="BF"/>
          </w:rPr>
          <w:t>NIPCM Appendices</w:t>
        </w:r>
      </w:hyperlink>
      <w:r w:rsidR="001B66EA" w:rsidRPr="00503FC1">
        <w:rPr>
          <w:color w:val="2F5496" w:themeColor="accent1" w:themeShade="BF"/>
        </w:rPr>
        <w:t xml:space="preserve">  </w:t>
      </w:r>
    </w:p>
    <w:p w14:paraId="74325FA5" w14:textId="14A74AE2" w:rsidR="004852F3" w:rsidRPr="003D54A1" w:rsidRDefault="001B66EA" w:rsidP="00527B31">
      <w:r w:rsidRPr="003D54A1">
        <w:rPr>
          <w:b/>
        </w:rPr>
        <w:t>Appendix 1</w:t>
      </w:r>
      <w:r w:rsidRPr="003D54A1">
        <w:t xml:space="preserve"> of this guidance </w:t>
      </w:r>
      <w:r w:rsidR="004F020E" w:rsidRPr="003D54A1">
        <w:t xml:space="preserve">describes the personal protective equipment (PPE) required when providing direct care for suspected or confirmed </w:t>
      </w:r>
      <w:r w:rsidR="009C3DAD">
        <w:t>ARI</w:t>
      </w:r>
      <w:r w:rsidR="004F020E" w:rsidRPr="003D54A1">
        <w:t xml:space="preserve"> patients.</w:t>
      </w:r>
      <w:r w:rsidR="00A83F33" w:rsidRPr="003D54A1">
        <w:t xml:space="preserve"> </w:t>
      </w:r>
    </w:p>
    <w:p w14:paraId="4B8C25B1" w14:textId="3C970834" w:rsidR="003624AA" w:rsidRPr="003D54A1" w:rsidRDefault="00527B31" w:rsidP="00FD325B">
      <w:pPr>
        <w:jc w:val="both"/>
      </w:pPr>
      <w:r w:rsidRPr="003D54A1">
        <w:t>As a minimum, contact and droplet precautions should be applied when caring for patients with known or suspected</w:t>
      </w:r>
      <w:r w:rsidR="00376265">
        <w:t xml:space="preserve"> ARI</w:t>
      </w:r>
      <w:r w:rsidRPr="003D54A1">
        <w:t xml:space="preserve">.  In specific circumstances airborne precautions should also be applied, for example, when performing AGPs, and in </w:t>
      </w:r>
      <w:r w:rsidR="0099012C" w:rsidRPr="003D54A1">
        <w:t>high-risk</w:t>
      </w:r>
      <w:r w:rsidRPr="003D54A1">
        <w:t xml:space="preserve"> settings. </w:t>
      </w:r>
      <w:r w:rsidR="00C33342" w:rsidRPr="003D54A1">
        <w:rPr>
          <w:b/>
        </w:rPr>
        <w:t>Appendix 2</w:t>
      </w:r>
      <w:r w:rsidR="00C33342" w:rsidRPr="003D54A1">
        <w:t xml:space="preserve"> of this guidance has an updated AGP list as published in the NIPCM England from 14</w:t>
      </w:r>
      <w:r w:rsidR="00C33342" w:rsidRPr="003D54A1">
        <w:rPr>
          <w:vertAlign w:val="superscript"/>
        </w:rPr>
        <w:t>th</w:t>
      </w:r>
      <w:r w:rsidR="00C33342" w:rsidRPr="003D54A1">
        <w:t xml:space="preserve"> April 2022.</w:t>
      </w:r>
    </w:p>
    <w:p w14:paraId="339E27E4" w14:textId="6206D921" w:rsidR="001B463C" w:rsidRPr="0098777D" w:rsidRDefault="003624AA" w:rsidP="001B463C">
      <w:pPr>
        <w:pStyle w:val="TOCheading3"/>
        <w:rPr>
          <w:lang w:val="en-GB"/>
        </w:rPr>
      </w:pPr>
      <w:bookmarkStart w:id="13" w:name="_Toc124166191"/>
      <w:r w:rsidRPr="003D54A1">
        <w:rPr>
          <w:lang w:val="en-GB"/>
        </w:rPr>
        <w:t>S</w:t>
      </w:r>
      <w:r w:rsidR="0003487B" w:rsidRPr="003D54A1">
        <w:rPr>
          <w:lang w:val="en-GB"/>
        </w:rPr>
        <w:t>ource control</w:t>
      </w:r>
      <w:bookmarkEnd w:id="13"/>
      <w:r w:rsidR="0045623D" w:rsidRPr="003D54A1">
        <w:rPr>
          <w:lang w:val="en-GB"/>
        </w:rPr>
        <w:t xml:space="preserve"> </w:t>
      </w:r>
    </w:p>
    <w:p w14:paraId="556D19A3" w14:textId="4D950CB4" w:rsidR="003E1955" w:rsidRDefault="003E1955" w:rsidP="00A82B3C">
      <w:r w:rsidRPr="003E1955">
        <w:t xml:space="preserve">Mask wearing is a form of source control that has been applied to staff, </w:t>
      </w:r>
      <w:r w:rsidR="0099012C" w:rsidRPr="003E1955">
        <w:t>patients,</w:t>
      </w:r>
      <w:r w:rsidRPr="003E1955">
        <w:t xml:space="preserve"> and visitors in healthcare settings during the pandemic to prevent the transmission of SARS</w:t>
      </w:r>
      <w:r w:rsidR="00B73CA0">
        <w:t xml:space="preserve"> </w:t>
      </w:r>
      <w:r w:rsidRPr="003E1955">
        <w:t>CoV-2</w:t>
      </w:r>
      <w:r w:rsidR="00B73CA0">
        <w:t xml:space="preserve"> (COVID-19)</w:t>
      </w:r>
      <w:r w:rsidRPr="003E1955">
        <w:t xml:space="preserve"> in health and care settings. The most recent </w:t>
      </w:r>
      <w:hyperlink r:id="rId23" w:history="1">
        <w:r w:rsidRPr="003E1955">
          <w:rPr>
            <w:rStyle w:val="Hyperlink"/>
          </w:rPr>
          <w:t>guidance from the World Health Organization (WHO</w:t>
        </w:r>
      </w:hyperlink>
      <w:r w:rsidRPr="003E1955">
        <w:t xml:space="preserve">) makes a strong recommendation (based on very low certainty of evidence) that in areas of known or suspected community or cluster </w:t>
      </w:r>
      <w:r w:rsidR="00B73CA0">
        <w:t>of COVID-19</w:t>
      </w:r>
      <w:r w:rsidRPr="003E1955">
        <w:t xml:space="preserve"> transmission, universal masking is recommended in health care facilities.</w:t>
      </w:r>
    </w:p>
    <w:p w14:paraId="557D6AD0" w14:textId="7A66D95E" w:rsidR="00A82B3C" w:rsidRPr="000F661D" w:rsidRDefault="00AC7335" w:rsidP="00A82B3C">
      <w:pPr>
        <w:rPr>
          <w:u w:val="single"/>
          <w:lang w:eastAsia="en-GB"/>
        </w:rPr>
      </w:pPr>
      <w:r>
        <w:rPr>
          <w:u w:val="single"/>
          <w:lang w:eastAsia="en-GB"/>
        </w:rPr>
        <w:br w:type="page"/>
      </w:r>
      <w:r w:rsidR="00A82B3C" w:rsidRPr="008D170F">
        <w:rPr>
          <w:b/>
          <w:bCs/>
          <w:u w:val="single"/>
          <w:lang w:eastAsia="en-GB"/>
        </w:rPr>
        <w:lastRenderedPageBreak/>
        <w:t xml:space="preserve">Health and care staff </w:t>
      </w:r>
    </w:p>
    <w:p w14:paraId="047786B7" w14:textId="34C47086" w:rsidR="00136572" w:rsidRDefault="003E1955" w:rsidP="00FD325B">
      <w:pPr>
        <w:jc w:val="both"/>
        <w:rPr>
          <w:rFonts w:ascii="Calibri" w:hAnsi="Calibri"/>
          <w:sz w:val="22"/>
          <w:highlight w:val="yellow"/>
        </w:rPr>
      </w:pPr>
      <w:r w:rsidRPr="003E1955">
        <w:rPr>
          <w:lang w:eastAsia="en-GB"/>
        </w:rPr>
        <w:t xml:space="preserve">Health and care staff should continue to wear </w:t>
      </w:r>
      <w:r w:rsidR="009D0FEC">
        <w:rPr>
          <w:lang w:eastAsia="en-GB"/>
        </w:rPr>
        <w:t xml:space="preserve">FRSM </w:t>
      </w:r>
      <w:r w:rsidRPr="003E1955">
        <w:rPr>
          <w:lang w:eastAsia="en-GB"/>
        </w:rPr>
        <w:t xml:space="preserve">(type IIR) when working in respiratory care pathways and when clinically caring for suspected/confirmed COVID-19 </w:t>
      </w:r>
      <w:r w:rsidR="00376265">
        <w:rPr>
          <w:lang w:eastAsia="en-GB"/>
        </w:rPr>
        <w:t xml:space="preserve">and </w:t>
      </w:r>
      <w:r w:rsidR="00E602FA">
        <w:rPr>
          <w:lang w:eastAsia="en-GB"/>
        </w:rPr>
        <w:t xml:space="preserve">Flu </w:t>
      </w:r>
      <w:r w:rsidRPr="003E1955">
        <w:rPr>
          <w:lang w:eastAsia="en-GB"/>
        </w:rPr>
        <w:t xml:space="preserve">patients.  </w:t>
      </w:r>
    </w:p>
    <w:p w14:paraId="47779D48" w14:textId="1A8E7E9C" w:rsidR="003E1955" w:rsidRPr="003E1955" w:rsidRDefault="003E1955" w:rsidP="00FD325B">
      <w:pPr>
        <w:jc w:val="both"/>
        <w:rPr>
          <w:lang w:eastAsia="en-GB"/>
        </w:rPr>
      </w:pPr>
      <w:r w:rsidRPr="003E1955">
        <w:rPr>
          <w:lang w:eastAsia="en-GB"/>
        </w:rPr>
        <w:t xml:space="preserve">In all other clinical care areas universal masking should be applied when there is known or suspected cluster transmission of </w:t>
      </w:r>
      <w:r w:rsidR="00842DC9">
        <w:rPr>
          <w:lang w:eastAsia="en-GB"/>
        </w:rPr>
        <w:t xml:space="preserve">ARI </w:t>
      </w:r>
      <w:r w:rsidRPr="003E1955">
        <w:rPr>
          <w:lang w:eastAsia="en-GB"/>
        </w:rPr>
        <w:t xml:space="preserve">e.g., during an </w:t>
      </w:r>
      <w:r w:rsidR="00842DC9">
        <w:rPr>
          <w:lang w:eastAsia="en-GB"/>
        </w:rPr>
        <w:t xml:space="preserve">incident / </w:t>
      </w:r>
      <w:r w:rsidRPr="003E1955">
        <w:rPr>
          <w:lang w:eastAsia="en-GB"/>
        </w:rPr>
        <w:t xml:space="preserve">outbreak, and/or if </w:t>
      </w:r>
      <w:r w:rsidR="00842DC9">
        <w:rPr>
          <w:lang w:eastAsia="en-GB"/>
        </w:rPr>
        <w:t xml:space="preserve">a </w:t>
      </w:r>
      <w:r w:rsidRPr="003E1955">
        <w:rPr>
          <w:lang w:eastAsia="en-GB"/>
        </w:rPr>
        <w:t xml:space="preserve">new </w:t>
      </w:r>
      <w:r w:rsidR="003A5CF6">
        <w:rPr>
          <w:lang w:eastAsia="en-GB"/>
        </w:rPr>
        <w:t>COVID-19</w:t>
      </w:r>
      <w:r w:rsidRPr="003E1955">
        <w:rPr>
          <w:lang w:eastAsia="en-GB"/>
        </w:rPr>
        <w:t xml:space="preserve"> V</w:t>
      </w:r>
      <w:r w:rsidR="003A5CF6">
        <w:rPr>
          <w:lang w:eastAsia="en-GB"/>
        </w:rPr>
        <w:t>ariant of Concern (V</w:t>
      </w:r>
      <w:r w:rsidRPr="003E1955">
        <w:rPr>
          <w:lang w:eastAsia="en-GB"/>
        </w:rPr>
        <w:t>OC</w:t>
      </w:r>
      <w:r w:rsidR="003A5CF6">
        <w:rPr>
          <w:lang w:eastAsia="en-GB"/>
        </w:rPr>
        <w:t>)</w:t>
      </w:r>
      <w:r w:rsidRPr="003E1955">
        <w:rPr>
          <w:lang w:eastAsia="en-GB"/>
        </w:rPr>
        <w:t xml:space="preserve"> emerge</w:t>
      </w:r>
      <w:r w:rsidR="00842DC9">
        <w:rPr>
          <w:lang w:eastAsia="en-GB"/>
        </w:rPr>
        <w:t>s.</w:t>
      </w:r>
      <w:r w:rsidR="00E602FA">
        <w:rPr>
          <w:lang w:eastAsia="en-GB"/>
        </w:rPr>
        <w:t xml:space="preserve"> </w:t>
      </w:r>
      <w:r w:rsidRPr="003E1955">
        <w:rPr>
          <w:lang w:eastAsia="en-GB"/>
        </w:rPr>
        <w:t xml:space="preserve">Universal masking should also be considered in settings where patients are at high risk of infection due to immunosuppression </w:t>
      </w:r>
      <w:proofErr w:type="gramStart"/>
      <w:r w:rsidRPr="003E1955">
        <w:rPr>
          <w:lang w:eastAsia="en-GB"/>
        </w:rPr>
        <w:t>e.g.</w:t>
      </w:r>
      <w:proofErr w:type="gramEnd"/>
      <w:r w:rsidRPr="003E1955">
        <w:rPr>
          <w:lang w:eastAsia="en-GB"/>
        </w:rPr>
        <w:t xml:space="preserve"> oncology/haematology.  This should be guided by local risk assessment. This includes primary and community care staff.  </w:t>
      </w:r>
    </w:p>
    <w:p w14:paraId="52D9A653" w14:textId="716F30A9" w:rsidR="00A82B3C" w:rsidRDefault="00A82B3C" w:rsidP="00FD325B">
      <w:pPr>
        <w:jc w:val="both"/>
        <w:rPr>
          <w:lang w:eastAsia="en-GB"/>
        </w:rPr>
      </w:pPr>
      <w:r w:rsidRPr="003D54A1">
        <w:rPr>
          <w:lang w:eastAsia="en-GB"/>
        </w:rPr>
        <w:t>F</w:t>
      </w:r>
      <w:r w:rsidR="006948DF">
        <w:rPr>
          <w:lang w:eastAsia="en-GB"/>
        </w:rPr>
        <w:t xml:space="preserve">RSM </w:t>
      </w:r>
      <w:r w:rsidRPr="003D54A1">
        <w:rPr>
          <w:lang w:eastAsia="en-GB"/>
        </w:rPr>
        <w:t xml:space="preserve">are </w:t>
      </w:r>
      <w:r w:rsidRPr="003D54A1">
        <w:rPr>
          <w:b/>
          <w:bCs/>
          <w:lang w:eastAsia="en-GB"/>
        </w:rPr>
        <w:t>not</w:t>
      </w:r>
      <w:r w:rsidRPr="003D54A1">
        <w:rPr>
          <w:lang w:eastAsia="en-GB"/>
        </w:rPr>
        <w:t xml:space="preserve"> required in non-clinical areas </w:t>
      </w:r>
      <w:proofErr w:type="gramStart"/>
      <w:r w:rsidRPr="003D54A1">
        <w:rPr>
          <w:lang w:eastAsia="en-GB"/>
        </w:rPr>
        <w:t>e.g.</w:t>
      </w:r>
      <w:proofErr w:type="gramEnd"/>
      <w:r w:rsidRPr="003D54A1">
        <w:rPr>
          <w:lang w:eastAsia="en-GB"/>
        </w:rPr>
        <w:t xml:space="preserve"> offices, social settings. Where patients are supported in community settings </w:t>
      </w:r>
      <w:proofErr w:type="gramStart"/>
      <w:r w:rsidRPr="003D54A1">
        <w:rPr>
          <w:lang w:eastAsia="en-GB"/>
        </w:rPr>
        <w:t>e.g.</w:t>
      </w:r>
      <w:proofErr w:type="gramEnd"/>
      <w:r w:rsidRPr="003D54A1">
        <w:rPr>
          <w:lang w:eastAsia="en-GB"/>
        </w:rPr>
        <w:t xml:space="preserve"> mental health/learning disabilities support in the community, staff are not routinely required to wear masks, similar to public health messaging in these settings, unless this is their personal preference. </w:t>
      </w:r>
    </w:p>
    <w:p w14:paraId="02CEAFD3" w14:textId="40A40DFA" w:rsidR="00D60060" w:rsidRPr="00D60060" w:rsidRDefault="00D60060" w:rsidP="00FD325B">
      <w:pPr>
        <w:jc w:val="both"/>
        <w:rPr>
          <w:rFonts w:ascii="Calibri" w:hAnsi="Calibri"/>
          <w:sz w:val="22"/>
        </w:rPr>
      </w:pPr>
      <w:r w:rsidRPr="00D60060">
        <w:t xml:space="preserve">Approved transparent face masks are now available to purchase for use in place of an FRSM (type11R) if needed following a risk assessment. Any product must be </w:t>
      </w:r>
      <w:proofErr w:type="gramStart"/>
      <w:r w:rsidRPr="00D60060">
        <w:t>a</w:t>
      </w:r>
      <w:proofErr w:type="gramEnd"/>
      <w:r w:rsidRPr="00D60060">
        <w:t xml:space="preserve"> N</w:t>
      </w:r>
      <w:r w:rsidR="003A5CF6">
        <w:t>HS Wales Shared Services Partnership (N</w:t>
      </w:r>
      <w:r w:rsidRPr="00D60060">
        <w:t>WSSP</w:t>
      </w:r>
      <w:r w:rsidR="003A5CF6">
        <w:t>)</w:t>
      </w:r>
      <w:r w:rsidRPr="00D60060">
        <w:t xml:space="preserve"> approved product that meets the national technical standard. They are not intended for routine use and must be worn in accordance with manufacturer instructions for use (IFU).</w:t>
      </w:r>
    </w:p>
    <w:p w14:paraId="6839F289" w14:textId="77777777" w:rsidR="00A82B3C" w:rsidRPr="008D170F" w:rsidRDefault="00A82B3C" w:rsidP="00A82B3C">
      <w:pPr>
        <w:rPr>
          <w:b/>
          <w:bCs/>
          <w:u w:val="single"/>
          <w:lang w:eastAsia="en-GB"/>
        </w:rPr>
      </w:pPr>
      <w:r w:rsidRPr="008D170F">
        <w:rPr>
          <w:b/>
          <w:bCs/>
          <w:u w:val="single"/>
          <w:lang w:eastAsia="en-GB"/>
        </w:rPr>
        <w:t>Inpatients:</w:t>
      </w:r>
    </w:p>
    <w:p w14:paraId="121A5B0C" w14:textId="7CE7A24C" w:rsidR="003E1955" w:rsidRPr="003E1955" w:rsidRDefault="003E1955" w:rsidP="00FD325B">
      <w:pPr>
        <w:jc w:val="both"/>
        <w:rPr>
          <w:lang w:eastAsia="en-GB"/>
        </w:rPr>
      </w:pPr>
      <w:bookmarkStart w:id="14" w:name="_Hlk102561652"/>
      <w:r w:rsidRPr="003E1955">
        <w:rPr>
          <w:lang w:eastAsia="en-GB"/>
        </w:rPr>
        <w:t xml:space="preserve">Non-infectious inpatients are not required to wear a </w:t>
      </w:r>
      <w:r w:rsidR="00F84C58">
        <w:rPr>
          <w:lang w:eastAsia="en-GB"/>
        </w:rPr>
        <w:t>FRSM</w:t>
      </w:r>
      <w:r w:rsidRPr="003E1955">
        <w:rPr>
          <w:lang w:eastAsia="en-GB"/>
        </w:rPr>
        <w:t xml:space="preserve"> unless this is a personal preference. However, in settings where patients are at high risk of infection due to immunosuppression </w:t>
      </w:r>
      <w:proofErr w:type="gramStart"/>
      <w:r w:rsidRPr="003E1955">
        <w:rPr>
          <w:lang w:eastAsia="en-GB"/>
        </w:rPr>
        <w:t>e.g.</w:t>
      </w:r>
      <w:proofErr w:type="gramEnd"/>
      <w:r w:rsidRPr="003E1955">
        <w:rPr>
          <w:lang w:eastAsia="en-GB"/>
        </w:rPr>
        <w:t xml:space="preserve"> oncology/haematology, non-infectious patients may be encouraged to wear a </w:t>
      </w:r>
      <w:r w:rsidR="009D0FEC">
        <w:rPr>
          <w:lang w:eastAsia="en-GB"/>
        </w:rPr>
        <w:t>FRSM</w:t>
      </w:r>
      <w:r w:rsidRPr="003E1955">
        <w:rPr>
          <w:lang w:eastAsia="en-GB"/>
        </w:rPr>
        <w:t xml:space="preserve"> following a local risk assessment.</w:t>
      </w:r>
    </w:p>
    <w:p w14:paraId="182396B5" w14:textId="7EABD7F1" w:rsidR="00A82B3C" w:rsidRPr="003D54A1" w:rsidRDefault="00A82B3C" w:rsidP="00FD325B">
      <w:pPr>
        <w:jc w:val="both"/>
        <w:rPr>
          <w:lang w:eastAsia="en-GB"/>
        </w:rPr>
      </w:pPr>
      <w:r w:rsidRPr="003D54A1">
        <w:rPr>
          <w:lang w:eastAsia="en-GB"/>
        </w:rPr>
        <w:t xml:space="preserve">Inpatients with </w:t>
      </w:r>
      <w:bookmarkStart w:id="15" w:name="_Hlk102674912"/>
      <w:r w:rsidRPr="003D54A1">
        <w:rPr>
          <w:b/>
          <w:bCs/>
          <w:lang w:eastAsia="en-GB"/>
        </w:rPr>
        <w:t xml:space="preserve">suspected or confirmed </w:t>
      </w:r>
      <w:bookmarkEnd w:id="15"/>
      <w:r w:rsidR="0091321C">
        <w:rPr>
          <w:b/>
          <w:bCs/>
          <w:lang w:eastAsia="en-GB"/>
        </w:rPr>
        <w:t xml:space="preserve">ARI </w:t>
      </w:r>
      <w:r w:rsidR="0091321C" w:rsidRPr="003D54A1">
        <w:rPr>
          <w:lang w:eastAsia="en-GB"/>
        </w:rPr>
        <w:t>should</w:t>
      </w:r>
      <w:r w:rsidRPr="003D54A1">
        <w:rPr>
          <w:lang w:eastAsia="en-GB"/>
        </w:rPr>
        <w:t xml:space="preserve"> be provided with a </w:t>
      </w:r>
      <w:r w:rsidR="009D0FEC">
        <w:rPr>
          <w:lang w:eastAsia="en-GB"/>
        </w:rPr>
        <w:t xml:space="preserve">FRSM </w:t>
      </w:r>
      <w:r w:rsidRPr="003D54A1">
        <w:rPr>
          <w:lang w:eastAsia="en-GB"/>
        </w:rPr>
        <w:t>(Type II or Type IIR) on admission</w:t>
      </w:r>
      <w:bookmarkEnd w:id="14"/>
      <w:r w:rsidRPr="003D54A1">
        <w:rPr>
          <w:lang w:eastAsia="en-GB"/>
        </w:rPr>
        <w:t xml:space="preserve">. This should be worn in multi-bedded bays and communal areas </w:t>
      </w:r>
      <w:proofErr w:type="gramStart"/>
      <w:r w:rsidRPr="003D54A1">
        <w:rPr>
          <w:lang w:eastAsia="en-GB"/>
        </w:rPr>
        <w:t>e.g.</w:t>
      </w:r>
      <w:proofErr w:type="gramEnd"/>
      <w:r w:rsidRPr="003D54A1">
        <w:rPr>
          <w:lang w:eastAsia="en-GB"/>
        </w:rPr>
        <w:t xml:space="preserve"> waiting areas for diagnostics, if this can be tolerated and is deemed safe for the patient. </w:t>
      </w:r>
    </w:p>
    <w:p w14:paraId="28594BD6" w14:textId="6EB754FB" w:rsidR="00A82B3C" w:rsidRPr="003D54A1" w:rsidRDefault="00A82B3C" w:rsidP="00FD325B">
      <w:pPr>
        <w:jc w:val="both"/>
        <w:rPr>
          <w:lang w:eastAsia="en-GB"/>
        </w:rPr>
      </w:pPr>
      <w:r w:rsidRPr="003D54A1">
        <w:rPr>
          <w:lang w:eastAsia="en-GB"/>
        </w:rPr>
        <w:t>F</w:t>
      </w:r>
      <w:r w:rsidR="009D0FEC">
        <w:rPr>
          <w:lang w:eastAsia="en-GB"/>
        </w:rPr>
        <w:t xml:space="preserve">RSM </w:t>
      </w:r>
      <w:r w:rsidRPr="003D54A1">
        <w:rPr>
          <w:lang w:eastAsia="en-GB"/>
        </w:rPr>
        <w:t xml:space="preserve">are not required to be worn by </w:t>
      </w:r>
      <w:r w:rsidRPr="003D54A1">
        <w:rPr>
          <w:b/>
          <w:bCs/>
          <w:lang w:eastAsia="en-GB"/>
        </w:rPr>
        <w:t xml:space="preserve">suspected or confirmed </w:t>
      </w:r>
      <w:r w:rsidR="00842DC9">
        <w:rPr>
          <w:b/>
          <w:bCs/>
          <w:lang w:eastAsia="en-GB"/>
        </w:rPr>
        <w:t xml:space="preserve">ARI </w:t>
      </w:r>
      <w:r w:rsidRPr="003D54A1">
        <w:rPr>
          <w:lang w:eastAsia="en-GB"/>
        </w:rPr>
        <w:t xml:space="preserve">patients in single rooms unless a visitor enters, or the room door is required to remain open. Patients with </w:t>
      </w:r>
      <w:r w:rsidRPr="003D54A1">
        <w:rPr>
          <w:b/>
          <w:bCs/>
          <w:lang w:eastAsia="en-GB"/>
        </w:rPr>
        <w:t xml:space="preserve">suspected or confirmed </w:t>
      </w:r>
      <w:r w:rsidR="0091321C">
        <w:rPr>
          <w:b/>
          <w:bCs/>
          <w:lang w:eastAsia="en-GB"/>
        </w:rPr>
        <w:t xml:space="preserve">ARI </w:t>
      </w:r>
      <w:r w:rsidR="0091321C">
        <w:rPr>
          <w:lang w:eastAsia="en-GB"/>
        </w:rPr>
        <w:t>transferring</w:t>
      </w:r>
      <w:r w:rsidRPr="003D54A1">
        <w:rPr>
          <w:lang w:eastAsia="en-GB"/>
        </w:rPr>
        <w:t xml:space="preserve"> to another care area should wear a facemask (if tolerated) to minimise the dispersal of respiratory secretions and reduce environmental contamination. Patients</w:t>
      </w:r>
      <w:r w:rsidR="00416CA9">
        <w:rPr>
          <w:lang w:eastAsia="en-GB"/>
        </w:rPr>
        <w:t xml:space="preserve"> should be provided with a new </w:t>
      </w:r>
      <w:r w:rsidR="009D0FEC">
        <w:rPr>
          <w:lang w:eastAsia="en-GB"/>
        </w:rPr>
        <w:t>FRSM</w:t>
      </w:r>
      <w:r w:rsidRPr="003D54A1">
        <w:rPr>
          <w:lang w:eastAsia="en-GB"/>
        </w:rPr>
        <w:t xml:space="preserve"> </w:t>
      </w:r>
      <w:r w:rsidRPr="00D16A3C">
        <w:rPr>
          <w:b/>
          <w:bCs/>
          <w:lang w:eastAsia="en-GB"/>
        </w:rPr>
        <w:t>at least</w:t>
      </w:r>
      <w:r w:rsidRPr="003D54A1">
        <w:rPr>
          <w:lang w:eastAsia="en-GB"/>
        </w:rPr>
        <w:t xml:space="preserve"> daily or when </w:t>
      </w:r>
      <w:r w:rsidR="0023113B">
        <w:rPr>
          <w:lang w:eastAsia="en-GB"/>
        </w:rPr>
        <w:t>wet,</w:t>
      </w:r>
      <w:r w:rsidR="00D16A3C">
        <w:rPr>
          <w:lang w:eastAsia="en-GB"/>
        </w:rPr>
        <w:t xml:space="preserve"> </w:t>
      </w:r>
      <w:proofErr w:type="gramStart"/>
      <w:r w:rsidRPr="003D54A1">
        <w:rPr>
          <w:lang w:eastAsia="en-GB"/>
        </w:rPr>
        <w:t>soiled</w:t>
      </w:r>
      <w:proofErr w:type="gramEnd"/>
      <w:r w:rsidRPr="003D54A1">
        <w:rPr>
          <w:lang w:eastAsia="en-GB"/>
        </w:rPr>
        <w:t xml:space="preserve"> or damaged. </w:t>
      </w:r>
    </w:p>
    <w:p w14:paraId="04BF1F6C" w14:textId="77777777" w:rsidR="00A82B3C" w:rsidRPr="003D54A1" w:rsidRDefault="00A82B3C" w:rsidP="00FD325B">
      <w:pPr>
        <w:jc w:val="both"/>
        <w:rPr>
          <w:lang w:eastAsia="en-GB"/>
        </w:rPr>
      </w:pPr>
      <w:r w:rsidRPr="003D54A1">
        <w:rPr>
          <w:lang w:eastAsia="en-GB"/>
        </w:rPr>
        <w:t xml:space="preserve">The requirement for patients to wear a facemask must never compromise their clinical care, such as when oxygen therapy is required or cause distress </w:t>
      </w:r>
      <w:proofErr w:type="gramStart"/>
      <w:r w:rsidRPr="003D54A1">
        <w:rPr>
          <w:lang w:eastAsia="en-GB"/>
        </w:rPr>
        <w:t>e.g.</w:t>
      </w:r>
      <w:proofErr w:type="gramEnd"/>
      <w:r w:rsidRPr="003D54A1">
        <w:rPr>
          <w:lang w:eastAsia="en-GB"/>
        </w:rPr>
        <w:t xml:space="preserve"> paediatric/mental health settings.</w:t>
      </w:r>
    </w:p>
    <w:p w14:paraId="33251B12" w14:textId="0C5FBFA2" w:rsidR="0091321C" w:rsidRDefault="0091321C">
      <w:pPr>
        <w:rPr>
          <w:lang w:eastAsia="en-GB"/>
        </w:rPr>
      </w:pPr>
      <w:r>
        <w:rPr>
          <w:lang w:eastAsia="en-GB"/>
        </w:rPr>
        <w:br w:type="page"/>
      </w:r>
    </w:p>
    <w:p w14:paraId="318C5B28" w14:textId="77777777" w:rsidR="00A82B3C" w:rsidRPr="008D170F" w:rsidRDefault="00A82B3C" w:rsidP="00A82B3C">
      <w:pPr>
        <w:rPr>
          <w:b/>
          <w:bCs/>
          <w:u w:val="single"/>
          <w:lang w:eastAsia="en-GB"/>
        </w:rPr>
      </w:pPr>
      <w:r w:rsidRPr="008D170F">
        <w:rPr>
          <w:b/>
          <w:bCs/>
          <w:u w:val="single"/>
          <w:lang w:eastAsia="en-GB"/>
        </w:rPr>
        <w:lastRenderedPageBreak/>
        <w:t>Outpatients/primary care:</w:t>
      </w:r>
    </w:p>
    <w:p w14:paraId="7091CA4C" w14:textId="59CB3232" w:rsidR="00A82B3C" w:rsidRPr="003D54A1" w:rsidRDefault="00A82B3C" w:rsidP="00A82B3C">
      <w:pPr>
        <w:rPr>
          <w:lang w:eastAsia="en-GB"/>
        </w:rPr>
      </w:pPr>
      <w:r w:rsidRPr="003D54A1">
        <w:rPr>
          <w:lang w:eastAsia="en-GB"/>
        </w:rPr>
        <w:t xml:space="preserve">Outpatients </w:t>
      </w:r>
      <w:bookmarkStart w:id="16" w:name="_Hlk102675853"/>
      <w:r w:rsidRPr="003D54A1">
        <w:rPr>
          <w:lang w:eastAsia="en-GB"/>
        </w:rPr>
        <w:t xml:space="preserve">with </w:t>
      </w:r>
      <w:r w:rsidRPr="003D54A1">
        <w:rPr>
          <w:b/>
          <w:bCs/>
          <w:lang w:eastAsia="en-GB"/>
        </w:rPr>
        <w:t xml:space="preserve">suspected or confirmed </w:t>
      </w:r>
      <w:r w:rsidR="00842DC9">
        <w:rPr>
          <w:b/>
          <w:bCs/>
          <w:lang w:eastAsia="en-GB"/>
        </w:rPr>
        <w:t xml:space="preserve">ARI </w:t>
      </w:r>
      <w:bookmarkEnd w:id="16"/>
      <w:r w:rsidRPr="003D54A1">
        <w:rPr>
          <w:lang w:eastAsia="en-GB"/>
        </w:rPr>
        <w:t>should wear a facemask/covering, if tolerated, or offered one on arrival.</w:t>
      </w:r>
    </w:p>
    <w:p w14:paraId="485CDC09" w14:textId="77777777" w:rsidR="003E1955" w:rsidRPr="003E1955" w:rsidRDefault="003E1955" w:rsidP="003E1955">
      <w:pPr>
        <w:rPr>
          <w:b/>
          <w:bCs/>
          <w:u w:val="single"/>
          <w:lang w:eastAsia="en-GB"/>
        </w:rPr>
      </w:pPr>
      <w:r w:rsidRPr="003E1955">
        <w:rPr>
          <w:b/>
          <w:bCs/>
          <w:u w:val="single"/>
          <w:lang w:eastAsia="en-GB"/>
        </w:rPr>
        <w:t>Visitors</w:t>
      </w:r>
    </w:p>
    <w:p w14:paraId="2D722986" w14:textId="13F8F428" w:rsidR="00A82B3C" w:rsidRPr="003D54A1" w:rsidRDefault="003E1955" w:rsidP="00FD325B">
      <w:pPr>
        <w:jc w:val="both"/>
        <w:rPr>
          <w:lang w:eastAsia="en-GB"/>
        </w:rPr>
      </w:pPr>
      <w:r w:rsidRPr="003E1955">
        <w:rPr>
          <w:lang w:eastAsia="en-GB"/>
        </w:rPr>
        <w:t xml:space="preserve">Visitors and individuals accompanying patients to appointments are not </w:t>
      </w:r>
      <w:r w:rsidR="0091321C" w:rsidRPr="003E1955">
        <w:rPr>
          <w:lang w:eastAsia="en-GB"/>
        </w:rPr>
        <w:t>routinely required</w:t>
      </w:r>
      <w:r w:rsidRPr="003E1955">
        <w:rPr>
          <w:lang w:eastAsia="en-GB"/>
        </w:rPr>
        <w:t xml:space="preserve"> to wear a facemask unless this is a personal preference or there is an outbreak in the area being visited</w:t>
      </w:r>
      <w:r w:rsidR="00FD325B">
        <w:rPr>
          <w:lang w:eastAsia="en-GB"/>
        </w:rPr>
        <w:t xml:space="preserve"> or directed by the organisation they are visiting</w:t>
      </w:r>
      <w:r w:rsidRPr="003E1955">
        <w:rPr>
          <w:lang w:eastAsia="en-GB"/>
        </w:rPr>
        <w:t xml:space="preserve">. However, in inpatient settings where patients are at high risk of infection due to immunosuppression </w:t>
      </w:r>
      <w:r w:rsidR="0099012C" w:rsidRPr="003E1955">
        <w:rPr>
          <w:lang w:eastAsia="en-GB"/>
        </w:rPr>
        <w:t>e.g.,</w:t>
      </w:r>
      <w:r w:rsidRPr="003E1955">
        <w:rPr>
          <w:lang w:eastAsia="en-GB"/>
        </w:rPr>
        <w:t xml:space="preserve"> oncology/haematology, visitors may be asked to wear a facemask following a local risk </w:t>
      </w:r>
      <w:r w:rsidR="0099012C" w:rsidRPr="003E1955">
        <w:rPr>
          <w:lang w:eastAsia="en-GB"/>
        </w:rPr>
        <w:t>assessment.</w:t>
      </w:r>
    </w:p>
    <w:p w14:paraId="0FAFD4DF" w14:textId="77777777" w:rsidR="0003487B" w:rsidRPr="003D54A1" w:rsidRDefault="0003487B" w:rsidP="0061106B">
      <w:pPr>
        <w:pStyle w:val="TOCheading3"/>
        <w:rPr>
          <w:lang w:val="en-GB"/>
        </w:rPr>
      </w:pPr>
      <w:bookmarkStart w:id="17" w:name="_Toc124166192"/>
      <w:r w:rsidRPr="003D54A1">
        <w:rPr>
          <w:lang w:val="en-GB"/>
        </w:rPr>
        <w:t>Duration of precautions</w:t>
      </w:r>
      <w:bookmarkEnd w:id="17"/>
    </w:p>
    <w:p w14:paraId="678624A9" w14:textId="0CED163B" w:rsidR="0003487B" w:rsidRPr="003D54A1" w:rsidRDefault="0003487B" w:rsidP="00FD325B">
      <w:pPr>
        <w:jc w:val="both"/>
      </w:pPr>
      <w:r w:rsidRPr="003D54A1">
        <w:t>TBPs</w:t>
      </w:r>
      <w:r w:rsidR="009E4A53">
        <w:t xml:space="preserve"> </w:t>
      </w:r>
      <w:r w:rsidRPr="003D54A1">
        <w:t>should only be discontinued in consultation with clinicians (including microbiology/IPC</w:t>
      </w:r>
      <w:r w:rsidR="009E4A53">
        <w:t xml:space="preserve"> </w:t>
      </w:r>
      <w:r w:rsidRPr="003D54A1">
        <w:t>team) and should take into consideration the individual’s test results (if available)</w:t>
      </w:r>
      <w:r w:rsidR="00E82BAE">
        <w:t xml:space="preserve">, transmissibility of the pathogen </w:t>
      </w:r>
      <w:r w:rsidRPr="003D54A1">
        <w:t>and resolution of clinical symptoms</w:t>
      </w:r>
      <w:r w:rsidR="00234D2C" w:rsidRPr="003D54A1">
        <w:t>.</w:t>
      </w:r>
    </w:p>
    <w:p w14:paraId="20394355" w14:textId="3F3A1E03" w:rsidR="0003487B" w:rsidRDefault="0003487B" w:rsidP="0054035C">
      <w:pPr>
        <w:pStyle w:val="TOCheading4"/>
        <w:ind w:left="504"/>
        <w:rPr>
          <w:lang w:val="en-GB"/>
        </w:rPr>
      </w:pPr>
      <w:r w:rsidRPr="0054035C">
        <w:rPr>
          <w:rFonts w:eastAsiaTheme="minorHAnsi" w:cstheme="minorBidi"/>
          <w:color w:val="auto"/>
          <w:szCs w:val="22"/>
          <w:lang w:val="en-GB"/>
        </w:rPr>
        <w:t xml:space="preserve"> </w:t>
      </w:r>
      <w:bookmarkStart w:id="18" w:name="_Toc124166193"/>
      <w:r w:rsidRPr="0054035C">
        <w:rPr>
          <w:lang w:val="en-GB"/>
        </w:rPr>
        <w:t xml:space="preserve">Stepping down precautions if the patient is staying in </w:t>
      </w:r>
      <w:proofErr w:type="gramStart"/>
      <w:r w:rsidRPr="0054035C">
        <w:rPr>
          <w:lang w:val="en-GB"/>
        </w:rPr>
        <w:t>hospital</w:t>
      </w:r>
      <w:bookmarkEnd w:id="18"/>
      <w:proofErr w:type="gramEnd"/>
    </w:p>
    <w:p w14:paraId="339E21B2" w14:textId="77777777" w:rsidR="002F12D9" w:rsidRPr="0054035C" w:rsidRDefault="002F12D9" w:rsidP="002F12D9">
      <w:pPr>
        <w:pStyle w:val="TOCheading4"/>
        <w:numPr>
          <w:ilvl w:val="0"/>
          <w:numId w:val="0"/>
        </w:numPr>
        <w:ind w:left="504"/>
        <w:rPr>
          <w:lang w:val="en-GB"/>
        </w:rPr>
      </w:pPr>
    </w:p>
    <w:p w14:paraId="4FD8E8D9" w14:textId="65F3445D" w:rsidR="0003487B" w:rsidRPr="0098777D" w:rsidRDefault="00E82BAE" w:rsidP="0098777D">
      <w:pPr>
        <w:pStyle w:val="ListParagraph"/>
        <w:numPr>
          <w:ilvl w:val="0"/>
          <w:numId w:val="10"/>
        </w:numPr>
        <w:rPr>
          <w:shd w:val="clear" w:color="auto" w:fill="FFFFFF"/>
        </w:rPr>
      </w:pPr>
      <w:bookmarkStart w:id="19" w:name="_Toc124166194"/>
      <w:r w:rsidRPr="0054035C">
        <w:t>COVID-19 - f</w:t>
      </w:r>
      <w:r w:rsidR="0003487B" w:rsidRPr="0054035C">
        <w:t>or in-patients,</w:t>
      </w:r>
      <w:r w:rsidR="00FD325B">
        <w:t xml:space="preserve"> </w:t>
      </w:r>
      <w:r w:rsidR="00D16A3C">
        <w:t>currently</w:t>
      </w:r>
      <w:r w:rsidR="0003487B" w:rsidRPr="0054035C">
        <w:t xml:space="preserve"> </w:t>
      </w:r>
      <w:r w:rsidR="00022186" w:rsidRPr="0054035C">
        <w:t>precautions/</w:t>
      </w:r>
      <w:r w:rsidR="0003487B" w:rsidRPr="0054035C">
        <w:t>isolation should continue up to 10 days after the onset of symptoms (or their first positive COVID-19 test if they do not have any symptoms), provided the clinical criteria b</w:t>
      </w:r>
      <w:r w:rsidR="0003487B" w:rsidRPr="002F12D9">
        <w:rPr>
          <w:color w:val="000000" w:themeColor="text1"/>
        </w:rPr>
        <w:t>elow have been met.</w:t>
      </w:r>
      <w:bookmarkEnd w:id="19"/>
      <w:r w:rsidR="00D16A3C" w:rsidRPr="002F12D9">
        <w:rPr>
          <w:color w:val="000000" w:themeColor="text1"/>
        </w:rPr>
        <w:t xml:space="preserve"> </w:t>
      </w:r>
      <w:r w:rsidR="00FD325B" w:rsidRPr="002F12D9">
        <w:rPr>
          <w:color w:val="000000" w:themeColor="text1"/>
        </w:rPr>
        <w:t>Please refer to the most up to date guidance</w:t>
      </w:r>
      <w:r w:rsidR="002F12D9" w:rsidRPr="002F12D9">
        <w:rPr>
          <w:color w:val="000000" w:themeColor="text1"/>
        </w:rPr>
        <w:t xml:space="preserve">. </w:t>
      </w:r>
      <w:hyperlink r:id="rId24" w:history="1">
        <w:r w:rsidR="002F12D9" w:rsidRPr="002F12D9">
          <w:rPr>
            <w:color w:val="0000FF"/>
            <w:u w:val="single"/>
          </w:rPr>
          <w:t>Patient testing framework for autumn/winter 2023 (WHC/2023/037) | GOV.WALES</w:t>
        </w:r>
      </w:hyperlink>
    </w:p>
    <w:p w14:paraId="57C08067" w14:textId="096A891A" w:rsidR="00E82BAE" w:rsidRPr="0054035C" w:rsidRDefault="0055207E" w:rsidP="002F12D9">
      <w:pPr>
        <w:pStyle w:val="TOCheading4"/>
        <w:numPr>
          <w:ilvl w:val="0"/>
          <w:numId w:val="10"/>
        </w:numPr>
        <w:jc w:val="both"/>
        <w:rPr>
          <w:rFonts w:eastAsiaTheme="minorHAnsi" w:cstheme="minorBidi"/>
          <w:color w:val="auto"/>
          <w:szCs w:val="22"/>
          <w:lang w:val="en-GB"/>
        </w:rPr>
      </w:pPr>
      <w:bookmarkStart w:id="20" w:name="_Toc124166195"/>
      <w:r>
        <w:rPr>
          <w:rFonts w:eastAsiaTheme="minorHAnsi" w:cstheme="minorBidi"/>
          <w:color w:val="auto"/>
          <w:szCs w:val="22"/>
          <w:lang w:val="en-GB"/>
        </w:rPr>
        <w:t>Influenza</w:t>
      </w:r>
      <w:r w:rsidR="00E82BAE" w:rsidRPr="0054035C">
        <w:rPr>
          <w:rFonts w:eastAsiaTheme="minorHAnsi" w:cstheme="minorBidi"/>
          <w:color w:val="auto"/>
          <w:szCs w:val="22"/>
          <w:lang w:val="en-GB"/>
        </w:rPr>
        <w:t xml:space="preserve">- for in-patients, precautions/isolation should continue </w:t>
      </w:r>
      <w:r>
        <w:rPr>
          <w:rFonts w:eastAsiaTheme="minorHAnsi" w:cstheme="minorBidi"/>
          <w:color w:val="auto"/>
          <w:szCs w:val="22"/>
          <w:lang w:val="en-GB"/>
        </w:rPr>
        <w:t xml:space="preserve">for at least 5 </w:t>
      </w:r>
      <w:r w:rsidR="00E82BAE" w:rsidRPr="0054035C">
        <w:rPr>
          <w:rFonts w:eastAsiaTheme="minorHAnsi" w:cstheme="minorBidi"/>
          <w:color w:val="auto"/>
          <w:szCs w:val="22"/>
          <w:lang w:val="en-GB"/>
        </w:rPr>
        <w:t>days after the onset of symptoms (or their first positive flu test if they do not have any symptoms), provided the clinical criteria below have been met.</w:t>
      </w:r>
      <w:bookmarkEnd w:id="20"/>
    </w:p>
    <w:p w14:paraId="32AF742D" w14:textId="04BC0118" w:rsidR="003A5CF6" w:rsidRPr="0054035C" w:rsidRDefault="00C50939" w:rsidP="002F12D9">
      <w:pPr>
        <w:pStyle w:val="TOCheading4"/>
        <w:numPr>
          <w:ilvl w:val="0"/>
          <w:numId w:val="10"/>
        </w:numPr>
        <w:jc w:val="both"/>
        <w:rPr>
          <w:rFonts w:eastAsiaTheme="minorHAnsi" w:cstheme="minorBidi"/>
          <w:color w:val="auto"/>
          <w:szCs w:val="22"/>
          <w:lang w:val="en-GB"/>
        </w:rPr>
      </w:pPr>
      <w:bookmarkStart w:id="21" w:name="_Toc124166196"/>
      <w:r w:rsidRPr="0054035C">
        <w:rPr>
          <w:rFonts w:eastAsiaTheme="minorHAnsi" w:cstheme="minorBidi"/>
          <w:color w:val="auto"/>
          <w:szCs w:val="22"/>
          <w:lang w:val="en-GB"/>
        </w:rPr>
        <w:t xml:space="preserve">Other ARI – (RSV, </w:t>
      </w:r>
      <w:r w:rsidR="003E661C" w:rsidRPr="0054035C">
        <w:rPr>
          <w:rFonts w:eastAsiaTheme="minorHAnsi" w:cstheme="minorBidi"/>
          <w:color w:val="auto"/>
          <w:szCs w:val="22"/>
          <w:lang w:val="en-GB"/>
        </w:rPr>
        <w:t>H. m</w:t>
      </w:r>
      <w:r w:rsidRPr="0054035C">
        <w:rPr>
          <w:rFonts w:eastAsiaTheme="minorHAnsi" w:cstheme="minorBidi"/>
          <w:color w:val="auto"/>
          <w:szCs w:val="22"/>
          <w:lang w:val="en-GB"/>
        </w:rPr>
        <w:t>etapneumovirus</w:t>
      </w:r>
      <w:r w:rsidR="0091321C" w:rsidRPr="0054035C">
        <w:rPr>
          <w:rFonts w:eastAsiaTheme="minorHAnsi" w:cstheme="minorBidi"/>
          <w:color w:val="auto"/>
          <w:szCs w:val="22"/>
          <w:lang w:val="en-GB"/>
        </w:rPr>
        <w:t>, Human</w:t>
      </w:r>
      <w:r w:rsidRPr="0054035C">
        <w:rPr>
          <w:rFonts w:eastAsiaTheme="minorHAnsi" w:cstheme="minorBidi"/>
          <w:color w:val="auto"/>
          <w:szCs w:val="22"/>
          <w:lang w:val="en-GB"/>
        </w:rPr>
        <w:t xml:space="preserve"> parainfluenza</w:t>
      </w:r>
      <w:r w:rsidR="003E661C" w:rsidRPr="0054035C">
        <w:rPr>
          <w:rFonts w:eastAsiaTheme="minorHAnsi" w:cstheme="minorBidi"/>
          <w:color w:val="auto"/>
          <w:szCs w:val="22"/>
          <w:lang w:val="en-GB"/>
        </w:rPr>
        <w:t>, rhinovirus</w:t>
      </w:r>
      <w:r w:rsidR="0091321C">
        <w:rPr>
          <w:rFonts w:eastAsiaTheme="minorHAnsi" w:cstheme="minorBidi"/>
          <w:color w:val="auto"/>
          <w:szCs w:val="22"/>
          <w:lang w:val="en-GB"/>
        </w:rPr>
        <w:t>)</w:t>
      </w:r>
      <w:r w:rsidRPr="0054035C">
        <w:rPr>
          <w:rFonts w:eastAsiaTheme="minorHAnsi" w:cstheme="minorBidi"/>
          <w:color w:val="auto"/>
          <w:szCs w:val="22"/>
          <w:lang w:val="en-GB"/>
        </w:rPr>
        <w:t xml:space="preserve"> </w:t>
      </w:r>
      <w:r w:rsidR="00571110" w:rsidRPr="0054035C">
        <w:rPr>
          <w:rFonts w:eastAsiaTheme="minorHAnsi" w:cstheme="minorBidi"/>
          <w:color w:val="auto"/>
          <w:szCs w:val="22"/>
          <w:lang w:val="en-GB"/>
        </w:rPr>
        <w:t xml:space="preserve">– for inpatients, precautions/isolation should continue up to </w:t>
      </w:r>
      <w:r w:rsidRPr="0054035C">
        <w:rPr>
          <w:rFonts w:eastAsiaTheme="minorHAnsi" w:cstheme="minorBidi"/>
          <w:color w:val="auto"/>
          <w:szCs w:val="22"/>
          <w:lang w:val="en-GB"/>
        </w:rPr>
        <w:t>7-8</w:t>
      </w:r>
      <w:r w:rsidR="00571110" w:rsidRPr="0054035C">
        <w:rPr>
          <w:rFonts w:eastAsiaTheme="minorHAnsi" w:cstheme="minorBidi"/>
          <w:color w:val="auto"/>
          <w:szCs w:val="22"/>
          <w:lang w:val="en-GB"/>
        </w:rPr>
        <w:t xml:space="preserve"> days after the onset of symptoms (or their first positive test if they do not have any symptoms), provided the clinical criteria below have been met.</w:t>
      </w:r>
      <w:bookmarkEnd w:id="21"/>
    </w:p>
    <w:p w14:paraId="48FC76AB" w14:textId="522AAD5E" w:rsidR="00571110" w:rsidRPr="0054035C" w:rsidRDefault="00571110" w:rsidP="0091321C">
      <w:pPr>
        <w:pStyle w:val="TOCheading4"/>
        <w:numPr>
          <w:ilvl w:val="0"/>
          <w:numId w:val="0"/>
        </w:numPr>
        <w:ind w:left="142"/>
        <w:jc w:val="both"/>
        <w:rPr>
          <w:rFonts w:eastAsiaTheme="minorHAnsi" w:cstheme="minorBidi"/>
          <w:color w:val="auto"/>
          <w:szCs w:val="22"/>
          <w:lang w:val="en-GB"/>
        </w:rPr>
      </w:pPr>
      <w:bookmarkStart w:id="22" w:name="_Toc124166197"/>
      <w:r w:rsidRPr="0054035C">
        <w:rPr>
          <w:rFonts w:eastAsiaTheme="minorHAnsi" w:cstheme="minorBidi"/>
          <w:color w:val="auto"/>
          <w:szCs w:val="22"/>
          <w:lang w:val="en-GB"/>
        </w:rPr>
        <w:t>Where a patient tests positive for more than one ARI</w:t>
      </w:r>
      <w:r w:rsidR="000117EA" w:rsidRPr="0054035C">
        <w:rPr>
          <w:rFonts w:eastAsiaTheme="minorHAnsi" w:cstheme="minorBidi"/>
          <w:color w:val="auto"/>
          <w:szCs w:val="22"/>
          <w:lang w:val="en-GB"/>
        </w:rPr>
        <w:t xml:space="preserve"> </w:t>
      </w:r>
      <w:proofErr w:type="gramStart"/>
      <w:r w:rsidR="000117EA" w:rsidRPr="0054035C">
        <w:rPr>
          <w:rFonts w:eastAsiaTheme="minorHAnsi" w:cstheme="minorBidi"/>
          <w:color w:val="auto"/>
          <w:szCs w:val="22"/>
          <w:lang w:val="en-GB"/>
        </w:rPr>
        <w:t>e.g.</w:t>
      </w:r>
      <w:proofErr w:type="gramEnd"/>
      <w:r w:rsidR="000117EA" w:rsidRPr="0054035C">
        <w:rPr>
          <w:rFonts w:eastAsiaTheme="minorHAnsi" w:cstheme="minorBidi"/>
          <w:color w:val="auto"/>
          <w:szCs w:val="22"/>
          <w:lang w:val="en-GB"/>
        </w:rPr>
        <w:t xml:space="preserve"> </w:t>
      </w:r>
      <w:r w:rsidR="0091321C">
        <w:rPr>
          <w:rFonts w:eastAsiaTheme="minorHAnsi" w:cstheme="minorBidi"/>
          <w:color w:val="auto"/>
          <w:szCs w:val="22"/>
          <w:lang w:val="en-GB"/>
        </w:rPr>
        <w:t xml:space="preserve">Influenza </w:t>
      </w:r>
      <w:r w:rsidR="0091321C" w:rsidRPr="0054035C">
        <w:rPr>
          <w:rFonts w:eastAsiaTheme="minorHAnsi" w:cstheme="minorBidi"/>
          <w:color w:val="auto"/>
          <w:szCs w:val="22"/>
          <w:lang w:val="en-GB"/>
        </w:rPr>
        <w:t>and</w:t>
      </w:r>
      <w:r w:rsidR="000117EA" w:rsidRPr="0054035C">
        <w:rPr>
          <w:rFonts w:eastAsiaTheme="minorHAnsi" w:cstheme="minorBidi"/>
          <w:color w:val="auto"/>
          <w:szCs w:val="22"/>
          <w:lang w:val="en-GB"/>
        </w:rPr>
        <w:t xml:space="preserve"> COVID-19</w:t>
      </w:r>
      <w:r w:rsidR="0091321C">
        <w:rPr>
          <w:rFonts w:eastAsiaTheme="minorHAnsi" w:cstheme="minorBidi"/>
          <w:color w:val="auto"/>
          <w:szCs w:val="22"/>
          <w:lang w:val="en-GB"/>
        </w:rPr>
        <w:t xml:space="preserve"> </w:t>
      </w:r>
      <w:r w:rsidRPr="0054035C">
        <w:rPr>
          <w:rFonts w:eastAsiaTheme="minorHAnsi" w:cstheme="minorBidi"/>
          <w:color w:val="auto"/>
          <w:szCs w:val="22"/>
          <w:lang w:val="en-GB"/>
        </w:rPr>
        <w:t>then</w:t>
      </w:r>
      <w:r w:rsidR="000117EA" w:rsidRPr="0054035C">
        <w:rPr>
          <w:rFonts w:eastAsiaTheme="minorHAnsi" w:cstheme="minorBidi"/>
          <w:color w:val="auto"/>
          <w:szCs w:val="22"/>
          <w:lang w:val="en-GB"/>
        </w:rPr>
        <w:t xml:space="preserve"> stepping down </w:t>
      </w:r>
      <w:r w:rsidRPr="0054035C">
        <w:rPr>
          <w:rFonts w:eastAsiaTheme="minorHAnsi" w:cstheme="minorBidi"/>
          <w:color w:val="auto"/>
          <w:szCs w:val="22"/>
          <w:lang w:val="en-GB"/>
        </w:rPr>
        <w:t xml:space="preserve">precautions </w:t>
      </w:r>
      <w:r w:rsidR="000117EA" w:rsidRPr="0054035C">
        <w:rPr>
          <w:rFonts w:eastAsiaTheme="minorHAnsi" w:cstheme="minorBidi"/>
          <w:color w:val="auto"/>
          <w:szCs w:val="22"/>
          <w:lang w:val="en-GB"/>
        </w:rPr>
        <w:t>needs to be assessed against transmission risks and clinical criteria.</w:t>
      </w:r>
      <w:bookmarkEnd w:id="22"/>
      <w:r w:rsidR="000117EA" w:rsidRPr="0054035C">
        <w:rPr>
          <w:rFonts w:eastAsiaTheme="minorHAnsi" w:cstheme="minorBidi"/>
          <w:color w:val="auto"/>
          <w:szCs w:val="22"/>
          <w:lang w:val="en-GB"/>
        </w:rPr>
        <w:t xml:space="preserve"> </w:t>
      </w:r>
      <w:r w:rsidRPr="0054035C">
        <w:rPr>
          <w:rFonts w:eastAsiaTheme="minorHAnsi" w:cstheme="minorBidi"/>
          <w:color w:val="auto"/>
          <w:szCs w:val="22"/>
          <w:lang w:val="en-GB"/>
        </w:rPr>
        <w:t xml:space="preserve"> </w:t>
      </w:r>
    </w:p>
    <w:p w14:paraId="3EA49B2C" w14:textId="77777777" w:rsidR="00E82BAE" w:rsidRDefault="00E82BAE" w:rsidP="00807E87"/>
    <w:p w14:paraId="4F69A5EC" w14:textId="6DED2B57" w:rsidR="0003487B" w:rsidRPr="003D54A1" w:rsidRDefault="0003487B" w:rsidP="00807E87">
      <w:r w:rsidRPr="003D54A1">
        <w:t>Clinical criteria:</w:t>
      </w:r>
    </w:p>
    <w:p w14:paraId="230F2774" w14:textId="77777777" w:rsidR="0003487B" w:rsidRPr="003D54A1" w:rsidRDefault="0003487B" w:rsidP="00FD325B">
      <w:pPr>
        <w:pStyle w:val="ListParagraph"/>
        <w:numPr>
          <w:ilvl w:val="0"/>
          <w:numId w:val="4"/>
        </w:numPr>
        <w:jc w:val="both"/>
      </w:pPr>
      <w:r w:rsidRPr="003D54A1">
        <w:t>clinical improvement with at least some respiratory recovery</w:t>
      </w:r>
    </w:p>
    <w:p w14:paraId="17694304" w14:textId="77777777" w:rsidR="0003487B" w:rsidRPr="003D54A1" w:rsidRDefault="0003487B" w:rsidP="00FD325B">
      <w:pPr>
        <w:pStyle w:val="ListParagraph"/>
        <w:numPr>
          <w:ilvl w:val="0"/>
          <w:numId w:val="4"/>
        </w:numPr>
        <w:jc w:val="both"/>
      </w:pPr>
      <w:r w:rsidRPr="003D54A1">
        <w:t>absence of fever (temperature greater than 37.8°C) for 48 hours without the use of medication</w:t>
      </w:r>
    </w:p>
    <w:p w14:paraId="3C3CBAEF" w14:textId="77777777" w:rsidR="0003487B" w:rsidRPr="003D54A1" w:rsidRDefault="0003487B" w:rsidP="00FD325B">
      <w:pPr>
        <w:pStyle w:val="ListParagraph"/>
        <w:numPr>
          <w:ilvl w:val="0"/>
          <w:numId w:val="4"/>
        </w:numPr>
        <w:jc w:val="both"/>
      </w:pPr>
      <w:r w:rsidRPr="003D54A1">
        <w:t>no underlying</w:t>
      </w:r>
      <w:r w:rsidRPr="003D54A1">
        <w:rPr>
          <w:rFonts w:cs="Arial"/>
          <w:szCs w:val="24"/>
        </w:rPr>
        <w:t> </w:t>
      </w:r>
      <w:hyperlink r:id="rId25" w:anchor="immsupp" w:history="1">
        <w:r w:rsidRPr="003D54A1">
          <w:rPr>
            <w:rStyle w:val="Hyperlink"/>
            <w:rFonts w:cs="Arial"/>
            <w:color w:val="auto"/>
            <w:szCs w:val="24"/>
          </w:rPr>
          <w:t>severe immunosuppression</w:t>
        </w:r>
      </w:hyperlink>
    </w:p>
    <w:p w14:paraId="6B6D37C9" w14:textId="72450F59" w:rsidR="0003487B" w:rsidRPr="003D54A1" w:rsidRDefault="0003487B" w:rsidP="00FD325B">
      <w:pPr>
        <w:jc w:val="both"/>
      </w:pPr>
      <w:r w:rsidRPr="003D54A1">
        <w:lastRenderedPageBreak/>
        <w:t xml:space="preserve">A cough or a loss of, or change in, normal sense of smell or taste (anosmia), may persist in some individuals </w:t>
      </w:r>
      <w:r w:rsidR="000117EA">
        <w:t xml:space="preserve">with COVID-19 </w:t>
      </w:r>
      <w:r w:rsidRPr="003D54A1">
        <w:t>for several weeks, and are not considered an indication of ongoing infection when other symptoms have resolved.</w:t>
      </w:r>
    </w:p>
    <w:p w14:paraId="5801F8C4" w14:textId="3D190553" w:rsidR="0003487B" w:rsidRPr="003D54A1" w:rsidRDefault="0003487B" w:rsidP="00FD325B">
      <w:pPr>
        <w:jc w:val="both"/>
      </w:pPr>
      <w:r w:rsidRPr="003D54A1">
        <w:t xml:space="preserve">This guidance does not apply if there are any additional indications for ongoing isolation and </w:t>
      </w:r>
      <w:r w:rsidR="0099012C" w:rsidRPr="003D54A1">
        <w:t>transmission-based</w:t>
      </w:r>
      <w:r w:rsidRPr="003D54A1">
        <w:t xml:space="preserve"> precautions (for example MRSA carriage, </w:t>
      </w:r>
      <w:r w:rsidRPr="003D54A1">
        <w:rPr>
          <w:i/>
          <w:iCs/>
        </w:rPr>
        <w:t>C.difficile</w:t>
      </w:r>
      <w:r w:rsidRPr="003D54A1">
        <w:t xml:space="preserve"> infection, diarrhoea).</w:t>
      </w:r>
    </w:p>
    <w:p w14:paraId="5EB1583C" w14:textId="10C647E0" w:rsidR="00A82B3C" w:rsidRPr="003D54A1" w:rsidRDefault="0003487B" w:rsidP="00FD325B">
      <w:pPr>
        <w:jc w:val="both"/>
      </w:pPr>
      <w:r w:rsidRPr="003D54A1">
        <w:t xml:space="preserve">For clinically suspected </w:t>
      </w:r>
      <w:r w:rsidR="00E82BAE">
        <w:t>ARI</w:t>
      </w:r>
      <w:r w:rsidRPr="003D54A1">
        <w:t xml:space="preserve"> patients who have tested negative </w:t>
      </w:r>
      <w:r w:rsidR="00D16A3C">
        <w:t>for COVID-19</w:t>
      </w:r>
      <w:r w:rsidR="00FD325B">
        <w:t xml:space="preserve"> </w:t>
      </w:r>
      <w:r w:rsidR="0099012C">
        <w:t>and have</w:t>
      </w:r>
      <w:r w:rsidR="00D16A3C">
        <w:t xml:space="preserve"> not been tested for other ARI’s </w:t>
      </w:r>
      <w:r w:rsidRPr="003D54A1">
        <w:t>and whose condition is severe enough to require hospitalisation, the isolation period should be measured from the day of admission.</w:t>
      </w:r>
      <w:r w:rsidR="00A82B3C" w:rsidRPr="003D54A1">
        <w:t xml:space="preserve"> </w:t>
      </w:r>
    </w:p>
    <w:p w14:paraId="1CBF62DC" w14:textId="150DFE31" w:rsidR="00E82BAE" w:rsidRPr="003D54A1" w:rsidRDefault="00E82BAE" w:rsidP="00FD325B">
      <w:pPr>
        <w:jc w:val="both"/>
      </w:pPr>
      <w:r>
        <w:t>Re</w:t>
      </w:r>
      <w:r w:rsidR="009C3DAD">
        <w:t>-</w:t>
      </w:r>
      <w:r>
        <w:t xml:space="preserve">testing is not required for </w:t>
      </w:r>
      <w:r w:rsidR="00DB3C25">
        <w:t xml:space="preserve">patients who have tested positive for other </w:t>
      </w:r>
      <w:r>
        <w:t>ARI pathogens</w:t>
      </w:r>
      <w:r w:rsidR="00DB3C25">
        <w:t xml:space="preserve"> (flu, RSV etc) </w:t>
      </w:r>
      <w:r>
        <w:t>unless there is underlying immunosuppression</w:t>
      </w:r>
      <w:r w:rsidR="00DB3C25">
        <w:t xml:space="preserve">. These cases should be considered </w:t>
      </w:r>
      <w:r w:rsidR="00DB3C25" w:rsidRPr="003D54A1">
        <w:t>in consultation with clinicians (including microbiology/IPC</w:t>
      </w:r>
      <w:r w:rsidR="00DB3C25">
        <w:t xml:space="preserve"> </w:t>
      </w:r>
      <w:r w:rsidR="00DB3C25" w:rsidRPr="003D54A1">
        <w:t>team)</w:t>
      </w:r>
      <w:r w:rsidR="00DB3C25">
        <w:t>.</w:t>
      </w:r>
      <w:r>
        <w:t xml:space="preserve"> </w:t>
      </w:r>
    </w:p>
    <w:p w14:paraId="43A37C48" w14:textId="77777777" w:rsidR="0003487B" w:rsidRPr="003D54A1" w:rsidRDefault="0003487B" w:rsidP="0061106B">
      <w:pPr>
        <w:pStyle w:val="TOCheading4"/>
        <w:rPr>
          <w:lang w:val="en-GB"/>
        </w:rPr>
      </w:pPr>
      <w:bookmarkStart w:id="23" w:name="_Toc124166198"/>
      <w:r w:rsidRPr="003D54A1">
        <w:rPr>
          <w:lang w:val="en-GB"/>
        </w:rPr>
        <w:t>Severely immunocompromised patients</w:t>
      </w:r>
      <w:bookmarkEnd w:id="23"/>
    </w:p>
    <w:p w14:paraId="71E3A919" w14:textId="22581B32" w:rsidR="0003487B" w:rsidRPr="003D54A1" w:rsidRDefault="0003487B" w:rsidP="003732DF">
      <w:pPr>
        <w:jc w:val="both"/>
      </w:pPr>
      <w:r w:rsidRPr="003D54A1">
        <w:t xml:space="preserve">It is possible for severely immunocompromised patients to remain infectious for prolonged periods, even if they do not display any symptoms of </w:t>
      </w:r>
      <w:r w:rsidR="00DB3C25">
        <w:t>ARI</w:t>
      </w:r>
      <w:r w:rsidRPr="003D54A1">
        <w:t xml:space="preserve">. The isolation period for </w:t>
      </w:r>
      <w:r w:rsidR="00DB3C25">
        <w:t>COVID-19</w:t>
      </w:r>
      <w:r w:rsidRPr="003D54A1">
        <w:t xml:space="preserve"> patients whilst in hospital should be at least 14 days.</w:t>
      </w:r>
    </w:p>
    <w:p w14:paraId="45DB2735" w14:textId="609F3DE0" w:rsidR="0003487B" w:rsidRPr="003D54A1" w:rsidRDefault="004B40ED" w:rsidP="0098777D">
      <w:pPr>
        <w:jc w:val="both"/>
      </w:pPr>
      <w:r>
        <w:t>For all ARI including COVID-19 i</w:t>
      </w:r>
      <w:r w:rsidR="0003487B" w:rsidRPr="003D54A1">
        <w:t xml:space="preserve">n severely immunocompromised </w:t>
      </w:r>
      <w:r w:rsidR="0099012C" w:rsidRPr="003D54A1">
        <w:t>patients’</w:t>
      </w:r>
      <w:r w:rsidR="0003487B" w:rsidRPr="003D54A1">
        <w:t xml:space="preserve"> resolution of symptoms should not be used as a marker of decreased infectiousness and these patients should be isolated </w:t>
      </w:r>
      <w:proofErr w:type="gramStart"/>
      <w:r w:rsidR="0003487B" w:rsidRPr="003D54A1">
        <w:t>in side</w:t>
      </w:r>
      <w:proofErr w:type="gramEnd"/>
      <w:r w:rsidR="0003487B" w:rsidRPr="003D54A1">
        <w:t xml:space="preserve"> rooms, cubicles or cohorted </w:t>
      </w:r>
      <w:r w:rsidR="00842DC9">
        <w:t>and a step down protocol agreed with the local Microbiology / IPC team</w:t>
      </w:r>
      <w:r>
        <w:t xml:space="preserve">. </w:t>
      </w:r>
      <w:r w:rsidR="00812896">
        <w:t xml:space="preserve"> </w:t>
      </w:r>
      <w:r w:rsidR="00842DC9">
        <w:t xml:space="preserve"> </w:t>
      </w:r>
    </w:p>
    <w:p w14:paraId="44E4D0AB" w14:textId="77777777" w:rsidR="00A82B3C" w:rsidRPr="003D54A1" w:rsidRDefault="00A82B3C" w:rsidP="00A82B3C">
      <w:pPr>
        <w:pStyle w:val="TOCheading4"/>
        <w:rPr>
          <w:lang w:val="en-GB"/>
        </w:rPr>
      </w:pPr>
      <w:bookmarkStart w:id="24" w:name="_Toc102735878"/>
      <w:bookmarkStart w:id="25" w:name="_Toc124166199"/>
      <w:r w:rsidRPr="003D54A1">
        <w:rPr>
          <w:lang w:val="en-GB"/>
        </w:rPr>
        <w:t>Outpatients/primary care</w:t>
      </w:r>
      <w:bookmarkEnd w:id="24"/>
      <w:bookmarkEnd w:id="25"/>
    </w:p>
    <w:p w14:paraId="192604B8" w14:textId="5AAD1639" w:rsidR="00A82B3C" w:rsidRPr="003D54A1" w:rsidRDefault="00A82B3C" w:rsidP="00FD325B">
      <w:pPr>
        <w:spacing w:line="276" w:lineRule="auto"/>
        <w:contextualSpacing/>
        <w:jc w:val="both"/>
        <w:rPr>
          <w:rFonts w:cs="Arial"/>
          <w:color w:val="231F20"/>
        </w:rPr>
      </w:pPr>
      <w:r w:rsidRPr="003D54A1">
        <w:rPr>
          <w:rFonts w:cs="Arial"/>
          <w:color w:val="231F20"/>
        </w:rPr>
        <w:t xml:space="preserve">Patients who are known or suspected to be positive with a respiratory </w:t>
      </w:r>
      <w:r w:rsidR="0091321C" w:rsidRPr="003D54A1">
        <w:rPr>
          <w:rFonts w:cs="Arial"/>
          <w:color w:val="231F20"/>
        </w:rPr>
        <w:t>pathogen and</w:t>
      </w:r>
      <w:r w:rsidRPr="003D54A1">
        <w:rPr>
          <w:rFonts w:cs="Arial"/>
          <w:color w:val="231F20"/>
        </w:rPr>
        <w:t xml:space="preserve"> whose treatment cannot be deferred should receive care from services who are able to operate in a way which minimises the risk of spread of the virus to other patients.  If required advice can be sought from</w:t>
      </w:r>
      <w:r w:rsidR="008B73E7" w:rsidRPr="003D54A1">
        <w:rPr>
          <w:rFonts w:cs="Arial"/>
          <w:color w:val="231F20"/>
        </w:rPr>
        <w:t xml:space="preserve"> Health Board</w:t>
      </w:r>
      <w:r w:rsidR="009D0FEC">
        <w:rPr>
          <w:rFonts w:cs="Arial"/>
          <w:color w:val="231F20"/>
        </w:rPr>
        <w:t>/Trust</w:t>
      </w:r>
      <w:r w:rsidR="008B73E7" w:rsidRPr="003D54A1">
        <w:rPr>
          <w:rFonts w:cs="Arial"/>
          <w:color w:val="231F20"/>
        </w:rPr>
        <w:t xml:space="preserve"> IPC Teams or</w:t>
      </w:r>
      <w:r w:rsidRPr="003D54A1">
        <w:rPr>
          <w:rFonts w:cs="Arial"/>
          <w:color w:val="231F20"/>
        </w:rPr>
        <w:t xml:space="preserve"> Health Protection Teams.</w:t>
      </w:r>
    </w:p>
    <w:p w14:paraId="628FBD17" w14:textId="77777777" w:rsidR="00A82B3C" w:rsidRPr="003D54A1" w:rsidRDefault="00A82B3C" w:rsidP="00A82B3C">
      <w:pPr>
        <w:spacing w:line="276" w:lineRule="auto"/>
        <w:contextualSpacing/>
        <w:rPr>
          <w:rFonts w:cs="Arial"/>
          <w:color w:val="231F20"/>
        </w:rPr>
      </w:pPr>
    </w:p>
    <w:p w14:paraId="702986B4" w14:textId="53E0BBA2" w:rsidR="00E815A0" w:rsidRPr="003D54A1" w:rsidRDefault="00E815A0" w:rsidP="00A82B3C">
      <w:r w:rsidRPr="003D54A1">
        <w:t xml:space="preserve">To support primary care specific risk assessment, tools are available to support organisations in applying the HoC here: -  </w:t>
      </w:r>
      <w:hyperlink r:id="rId26" w:history="1">
        <w:r w:rsidR="00D60060" w:rsidRPr="00D60060">
          <w:rPr>
            <w:rStyle w:val="Hyperlink"/>
            <w:rFonts w:cs="Arial"/>
            <w:color w:val="034990" w:themeColor="hyperlink" w:themeShade="BF"/>
            <w:szCs w:val="24"/>
          </w:rPr>
          <w:t>Criteria for completing a local risk assessment (primary care and outpatient settings)</w:t>
        </w:r>
      </w:hyperlink>
    </w:p>
    <w:p w14:paraId="04218A4D" w14:textId="58247055" w:rsidR="00036F16" w:rsidRDefault="00036F16" w:rsidP="008B73E7">
      <w:pPr>
        <w:pStyle w:val="TOCheading4"/>
        <w:rPr>
          <w:lang w:val="en-GB"/>
        </w:rPr>
      </w:pPr>
      <w:bookmarkStart w:id="26" w:name="_Toc124166200"/>
      <w:bookmarkStart w:id="27" w:name="_Hlk147410167"/>
      <w:r w:rsidRPr="003D54A1">
        <w:rPr>
          <w:lang w:val="en-GB"/>
        </w:rPr>
        <w:t>Care home or other non-acute healthcare setting</w:t>
      </w:r>
      <w:r w:rsidR="00E815A0" w:rsidRPr="003D54A1">
        <w:rPr>
          <w:lang w:val="en-GB"/>
        </w:rPr>
        <w:t>s</w:t>
      </w:r>
      <w:bookmarkEnd w:id="26"/>
    </w:p>
    <w:p w14:paraId="2835F9DD" w14:textId="77777777" w:rsidR="005001A9" w:rsidRPr="005001A9" w:rsidRDefault="005001A9" w:rsidP="005001A9">
      <w:pPr>
        <w:spacing w:after="0" w:line="240" w:lineRule="auto"/>
        <w:rPr>
          <w:rFonts w:eastAsia="Times New Roman" w:cs="Arial"/>
          <w:szCs w:val="24"/>
          <w:lang w:eastAsia="en-GB"/>
        </w:rPr>
      </w:pPr>
      <w:r w:rsidRPr="005001A9">
        <w:rPr>
          <w:rFonts w:eastAsiaTheme="minorEastAsia" w:cs="Arial"/>
          <w:szCs w:val="24"/>
          <w:lang w:eastAsia="en-GB"/>
        </w:rPr>
        <w:t>For those with symptoms of ARI – no test results:</w:t>
      </w:r>
    </w:p>
    <w:p w14:paraId="39BF5CA4" w14:textId="77777777" w:rsidR="005001A9" w:rsidRPr="005001A9" w:rsidRDefault="005001A9" w:rsidP="005001A9">
      <w:pPr>
        <w:numPr>
          <w:ilvl w:val="0"/>
          <w:numId w:val="11"/>
        </w:numPr>
        <w:spacing w:after="0" w:line="240" w:lineRule="auto"/>
        <w:ind w:left="1267"/>
        <w:contextualSpacing/>
        <w:rPr>
          <w:rFonts w:eastAsia="Times New Roman" w:cs="Arial"/>
          <w:szCs w:val="24"/>
          <w:lang w:eastAsia="en-GB"/>
        </w:rPr>
      </w:pPr>
      <w:r w:rsidRPr="005001A9">
        <w:rPr>
          <w:rFonts w:eastAsiaTheme="minorEastAsia" w:cs="Arial"/>
          <w:szCs w:val="24"/>
          <w:lang w:eastAsia="en-GB"/>
        </w:rPr>
        <w:t xml:space="preserve">Symptoms of a respiratory infection, with high temperature or not feeling well enough to do their usual activities. It is best practice to avoid contact with other people. </w:t>
      </w:r>
    </w:p>
    <w:p w14:paraId="7D51D2BF" w14:textId="77777777" w:rsidR="005001A9" w:rsidRPr="005001A9" w:rsidRDefault="005001A9" w:rsidP="005001A9">
      <w:pPr>
        <w:numPr>
          <w:ilvl w:val="0"/>
          <w:numId w:val="11"/>
        </w:numPr>
        <w:spacing w:after="0" w:line="240" w:lineRule="auto"/>
        <w:ind w:left="1267"/>
        <w:contextualSpacing/>
        <w:rPr>
          <w:rFonts w:eastAsia="Times New Roman" w:cs="Arial"/>
          <w:szCs w:val="24"/>
          <w:lang w:eastAsia="en-GB"/>
        </w:rPr>
      </w:pPr>
      <w:r w:rsidRPr="005001A9">
        <w:rPr>
          <w:rFonts w:eastAsiaTheme="minorEastAsia" w:cs="Arial"/>
          <w:szCs w:val="24"/>
          <w:lang w:eastAsia="en-GB"/>
        </w:rPr>
        <w:t>This should be maintained until they no longer have a high temperature or no longer feel unwell.</w:t>
      </w:r>
    </w:p>
    <w:p w14:paraId="470EDB0E" w14:textId="6600749B" w:rsidR="005001A9" w:rsidRPr="005001A9" w:rsidRDefault="005001A9" w:rsidP="005001A9">
      <w:pPr>
        <w:numPr>
          <w:ilvl w:val="0"/>
          <w:numId w:val="11"/>
        </w:numPr>
        <w:spacing w:after="0" w:line="240" w:lineRule="auto"/>
        <w:ind w:left="1267"/>
        <w:contextualSpacing/>
        <w:rPr>
          <w:rFonts w:eastAsia="Times New Roman" w:cs="Arial"/>
          <w:szCs w:val="24"/>
          <w:lang w:eastAsia="en-GB"/>
        </w:rPr>
      </w:pPr>
      <w:r w:rsidRPr="005001A9">
        <w:rPr>
          <w:rFonts w:eastAsiaTheme="minorEastAsia" w:cs="Arial"/>
          <w:szCs w:val="24"/>
          <w:lang w:eastAsia="en-GB"/>
        </w:rPr>
        <w:t>Note that those in vulnerable groups who may benefit from antiviral treatments will need to be tested –</w:t>
      </w:r>
      <w:hyperlink r:id="rId27" w:history="1">
        <w:r w:rsidR="00E572EB" w:rsidRPr="002F12D9">
          <w:rPr>
            <w:color w:val="0000FF"/>
            <w:u w:val="single"/>
          </w:rPr>
          <w:t>Patient testing framework for autumn/winter 2023 (WHC/2023/037) | GOV.WALES</w:t>
        </w:r>
      </w:hyperlink>
      <w:r w:rsidRPr="005001A9">
        <w:rPr>
          <w:rFonts w:eastAsiaTheme="minorEastAsia" w:cs="Arial"/>
          <w:szCs w:val="24"/>
          <w:lang w:eastAsia="en-GB"/>
        </w:rPr>
        <w:t xml:space="preserve"> </w:t>
      </w:r>
    </w:p>
    <w:p w14:paraId="1A62DC83" w14:textId="5DB241BD" w:rsidR="005001A9" w:rsidRDefault="005001A9" w:rsidP="005001A9">
      <w:pPr>
        <w:spacing w:after="0" w:line="240" w:lineRule="auto"/>
        <w:contextualSpacing/>
        <w:rPr>
          <w:rFonts w:eastAsiaTheme="minorEastAsia" w:cs="Arial"/>
          <w:szCs w:val="24"/>
          <w:lang w:eastAsia="en-GB"/>
        </w:rPr>
      </w:pPr>
    </w:p>
    <w:p w14:paraId="1A90D9B0" w14:textId="77777777" w:rsidR="005001A9" w:rsidRPr="005001A9" w:rsidRDefault="005001A9" w:rsidP="005001A9">
      <w:pPr>
        <w:spacing w:after="0" w:line="240" w:lineRule="auto"/>
        <w:contextualSpacing/>
        <w:rPr>
          <w:rFonts w:eastAsia="Times New Roman" w:cs="Arial"/>
          <w:szCs w:val="24"/>
          <w:lang w:eastAsia="en-GB"/>
        </w:rPr>
      </w:pPr>
    </w:p>
    <w:p w14:paraId="1FF670B2" w14:textId="2CC17ABB" w:rsidR="005001A9" w:rsidRPr="005001A9" w:rsidRDefault="005001A9" w:rsidP="005001A9">
      <w:pPr>
        <w:spacing w:after="0" w:line="240" w:lineRule="auto"/>
        <w:rPr>
          <w:rFonts w:eastAsia="Times New Roman" w:cs="Arial"/>
          <w:szCs w:val="24"/>
          <w:lang w:eastAsia="en-GB"/>
        </w:rPr>
      </w:pPr>
      <w:r w:rsidRPr="005001A9">
        <w:rPr>
          <w:rFonts w:eastAsiaTheme="minorEastAsia" w:cs="Arial"/>
          <w:szCs w:val="24"/>
          <w:lang w:eastAsia="en-GB"/>
        </w:rPr>
        <w:lastRenderedPageBreak/>
        <w:t xml:space="preserve">For those </w:t>
      </w:r>
      <w:r>
        <w:rPr>
          <w:rFonts w:eastAsiaTheme="minorEastAsia" w:cs="Arial"/>
          <w:szCs w:val="24"/>
          <w:lang w:eastAsia="en-GB"/>
        </w:rPr>
        <w:t xml:space="preserve">residents </w:t>
      </w:r>
      <w:r w:rsidRPr="005001A9">
        <w:rPr>
          <w:rFonts w:eastAsiaTheme="minorEastAsia" w:cs="Arial"/>
          <w:szCs w:val="24"/>
          <w:lang w:eastAsia="en-GB"/>
        </w:rPr>
        <w:t>with a positive COVID-19 test result:</w:t>
      </w:r>
    </w:p>
    <w:p w14:paraId="4C4E1084" w14:textId="77777777" w:rsidR="005001A9" w:rsidRPr="005001A9" w:rsidRDefault="005001A9" w:rsidP="005001A9">
      <w:pPr>
        <w:spacing w:after="0" w:line="240" w:lineRule="auto"/>
        <w:contextualSpacing/>
        <w:rPr>
          <w:rFonts w:eastAsia="Times New Roman" w:cs="Arial"/>
          <w:szCs w:val="24"/>
          <w:lang w:eastAsia="en-GB"/>
        </w:rPr>
      </w:pPr>
      <w:r w:rsidRPr="005001A9">
        <w:rPr>
          <w:rFonts w:eastAsiaTheme="minorEastAsia" w:cs="Arial"/>
          <w:szCs w:val="24"/>
          <w:lang w:eastAsia="en-GB"/>
        </w:rPr>
        <w:t>To bring in line with recommendations for the wider public / population:</w:t>
      </w:r>
    </w:p>
    <w:p w14:paraId="69DC661A" w14:textId="3A767A3C" w:rsidR="005001A9" w:rsidRPr="005001A9" w:rsidRDefault="005001A9" w:rsidP="005001A9">
      <w:pPr>
        <w:pStyle w:val="ListParagraph"/>
        <w:numPr>
          <w:ilvl w:val="0"/>
          <w:numId w:val="16"/>
        </w:numPr>
        <w:spacing w:after="0" w:line="240" w:lineRule="auto"/>
        <w:rPr>
          <w:rFonts w:eastAsia="Times New Roman" w:cs="Arial"/>
          <w:szCs w:val="24"/>
          <w:lang w:eastAsia="en-GB"/>
        </w:rPr>
      </w:pPr>
      <w:r w:rsidRPr="005001A9">
        <w:rPr>
          <w:rFonts w:eastAsiaTheme="minorEastAsia" w:cs="Arial"/>
          <w:szCs w:val="24"/>
          <w:lang w:eastAsia="en-GB"/>
        </w:rPr>
        <w:t xml:space="preserve">stay away from others for a minimum of 5 days after the day they took the </w:t>
      </w:r>
      <w:r w:rsidR="0099012C" w:rsidRPr="005001A9">
        <w:rPr>
          <w:rFonts w:eastAsiaTheme="minorEastAsia" w:cs="Arial"/>
          <w:szCs w:val="24"/>
          <w:lang w:eastAsia="en-GB"/>
        </w:rPr>
        <w:t>test.</w:t>
      </w:r>
    </w:p>
    <w:p w14:paraId="4745DE98" w14:textId="02AF9C15" w:rsidR="005001A9" w:rsidRPr="005001A9" w:rsidRDefault="005001A9" w:rsidP="005001A9">
      <w:pPr>
        <w:pStyle w:val="ListParagraph"/>
        <w:numPr>
          <w:ilvl w:val="0"/>
          <w:numId w:val="16"/>
        </w:numPr>
        <w:spacing w:after="0" w:line="240" w:lineRule="auto"/>
        <w:rPr>
          <w:rFonts w:eastAsia="Times New Roman" w:cs="Arial"/>
          <w:szCs w:val="24"/>
          <w:lang w:eastAsia="en-GB"/>
        </w:rPr>
      </w:pPr>
      <w:r w:rsidRPr="005001A9">
        <w:rPr>
          <w:rFonts w:eastAsiaTheme="minorEastAsia" w:cs="Arial"/>
          <w:szCs w:val="24"/>
          <w:lang w:eastAsia="en-GB"/>
        </w:rPr>
        <w:t>access appropriate treatments as quickly as possible if they are eligible –</w:t>
      </w:r>
      <w:hyperlink r:id="rId28" w:history="1">
        <w:r w:rsidR="00E572EB" w:rsidRPr="00A77BD4">
          <w:rPr>
            <w:color w:val="0000FF"/>
            <w:u w:val="single"/>
          </w:rPr>
          <w:t>COVID-19 treatments | GOV.WALES</w:t>
        </w:r>
      </w:hyperlink>
      <w:r w:rsidRPr="005001A9">
        <w:rPr>
          <w:rFonts w:eastAsiaTheme="minorEastAsia" w:cs="Arial"/>
          <w:szCs w:val="24"/>
          <w:lang w:eastAsia="en-GB"/>
        </w:rPr>
        <w:t xml:space="preserve"> </w:t>
      </w:r>
    </w:p>
    <w:p w14:paraId="5E793D51" w14:textId="761C6FCF" w:rsidR="005001A9" w:rsidRPr="005001A9" w:rsidRDefault="005001A9" w:rsidP="005001A9">
      <w:pPr>
        <w:pStyle w:val="ListParagraph"/>
        <w:numPr>
          <w:ilvl w:val="0"/>
          <w:numId w:val="16"/>
        </w:numPr>
        <w:spacing w:after="0" w:line="240" w:lineRule="auto"/>
        <w:rPr>
          <w:rFonts w:eastAsia="Times New Roman" w:cs="Arial"/>
          <w:szCs w:val="24"/>
          <w:lang w:eastAsia="en-GB"/>
        </w:rPr>
      </w:pPr>
      <w:r w:rsidRPr="005001A9">
        <w:rPr>
          <w:rFonts w:eastAsiaTheme="minorEastAsia" w:cs="Arial"/>
          <w:szCs w:val="24"/>
          <w:lang w:eastAsia="en-GB"/>
        </w:rPr>
        <w:t xml:space="preserve">avoid contact with other people who are eligible for COVID-19 treatments for 10 days after a positive </w:t>
      </w:r>
      <w:r w:rsidR="0099012C" w:rsidRPr="005001A9">
        <w:rPr>
          <w:rFonts w:eastAsiaTheme="minorEastAsia" w:cs="Arial"/>
          <w:szCs w:val="24"/>
          <w:lang w:eastAsia="en-GB"/>
        </w:rPr>
        <w:t>test.</w:t>
      </w:r>
    </w:p>
    <w:p w14:paraId="6C322CEE" w14:textId="2D715839" w:rsidR="005001A9" w:rsidRPr="005001A9" w:rsidRDefault="005001A9" w:rsidP="005001A9">
      <w:pPr>
        <w:pStyle w:val="ListParagraph"/>
        <w:numPr>
          <w:ilvl w:val="0"/>
          <w:numId w:val="16"/>
        </w:numPr>
        <w:spacing w:after="0" w:line="240" w:lineRule="auto"/>
        <w:rPr>
          <w:rFonts w:eastAsiaTheme="minorEastAsia" w:cs="Arial"/>
          <w:szCs w:val="24"/>
          <w:lang w:eastAsia="en-GB"/>
        </w:rPr>
      </w:pPr>
      <w:r w:rsidRPr="005001A9">
        <w:rPr>
          <w:rFonts w:eastAsiaTheme="minorEastAsia" w:cs="Arial"/>
          <w:szCs w:val="24"/>
          <w:lang w:eastAsia="en-GB"/>
        </w:rPr>
        <w:t>After 5 days, the resident can return to their normal activities if they feel well and no longer have a high temperature</w:t>
      </w:r>
      <w:r w:rsidR="008A3700">
        <w:rPr>
          <w:rFonts w:eastAsiaTheme="minorEastAsia" w:cs="Arial"/>
          <w:szCs w:val="24"/>
          <w:lang w:eastAsia="en-GB"/>
        </w:rPr>
        <w:t xml:space="preserve"> without the use of medication such as paracetamol.</w:t>
      </w:r>
    </w:p>
    <w:p w14:paraId="72C723F5" w14:textId="77777777" w:rsidR="005001A9" w:rsidRPr="005001A9" w:rsidRDefault="005001A9" w:rsidP="005001A9">
      <w:pPr>
        <w:spacing w:after="0" w:line="240" w:lineRule="auto"/>
        <w:contextualSpacing/>
        <w:rPr>
          <w:rFonts w:eastAsia="Times New Roman" w:cs="Arial"/>
          <w:szCs w:val="24"/>
          <w:lang w:eastAsia="en-GB"/>
        </w:rPr>
      </w:pPr>
    </w:p>
    <w:p w14:paraId="4C3BF4A3" w14:textId="6F8B232B" w:rsidR="005001A9" w:rsidRDefault="005001A9" w:rsidP="005001A9">
      <w:pPr>
        <w:spacing w:after="0" w:line="240" w:lineRule="auto"/>
        <w:rPr>
          <w:rFonts w:eastAsiaTheme="minorEastAsia" w:cs="Arial"/>
          <w:b/>
          <w:bCs/>
          <w:szCs w:val="24"/>
          <w:lang w:eastAsia="en-GB"/>
        </w:rPr>
      </w:pPr>
      <w:r w:rsidRPr="005001A9">
        <w:rPr>
          <w:rFonts w:eastAsiaTheme="minorEastAsia" w:cs="Arial"/>
          <w:b/>
          <w:bCs/>
          <w:szCs w:val="24"/>
          <w:lang w:eastAsia="en-GB"/>
        </w:rPr>
        <w:t xml:space="preserve">Residents who have tested positive for COVID-19 do not need to stay away from others for more than 10 days regardless of symptoms. </w:t>
      </w:r>
    </w:p>
    <w:p w14:paraId="0E136663" w14:textId="3079846F" w:rsidR="005001A9" w:rsidRPr="003D54A1" w:rsidRDefault="005001A9" w:rsidP="005001A9">
      <w:pPr>
        <w:pStyle w:val="TOCheading4"/>
      </w:pPr>
      <w:r>
        <w:t xml:space="preserve">High risk/ Vulnerable residents </w:t>
      </w:r>
    </w:p>
    <w:p w14:paraId="2AD02475" w14:textId="77777777" w:rsidR="005001A9" w:rsidRDefault="005001A9" w:rsidP="005001A9">
      <w:pPr>
        <w:spacing w:after="0" w:line="240" w:lineRule="auto"/>
        <w:rPr>
          <w:rFonts w:eastAsiaTheme="minorEastAsia" w:cs="Arial"/>
          <w:b/>
          <w:bCs/>
          <w:szCs w:val="24"/>
          <w:lang w:eastAsia="en-GB"/>
        </w:rPr>
      </w:pPr>
    </w:p>
    <w:p w14:paraId="00E4AC37" w14:textId="77777777" w:rsidR="005001A9" w:rsidRPr="005001A9" w:rsidRDefault="005001A9" w:rsidP="005001A9">
      <w:pPr>
        <w:pStyle w:val="ListParagraph"/>
        <w:numPr>
          <w:ilvl w:val="0"/>
          <w:numId w:val="15"/>
        </w:numPr>
        <w:spacing w:after="0" w:line="240" w:lineRule="auto"/>
        <w:rPr>
          <w:rFonts w:eastAsia="Times New Roman" w:cs="Arial"/>
          <w:szCs w:val="24"/>
          <w:lang w:eastAsia="en-GB"/>
        </w:rPr>
      </w:pPr>
      <w:r w:rsidRPr="005001A9">
        <w:rPr>
          <w:rFonts w:eastAsiaTheme="minorEastAsia" w:cs="Arial"/>
          <w:szCs w:val="24"/>
          <w:lang w:eastAsia="en-GB"/>
        </w:rPr>
        <w:t>Precautions/isolation should continue up to 10 days after the onset of symptoms (or their first positive COVID-19 test if they do not have any symptoms), provided the clinical criteria below have been met.</w:t>
      </w:r>
    </w:p>
    <w:p w14:paraId="5FAF7852" w14:textId="77777777" w:rsidR="005001A9" w:rsidRPr="005001A9" w:rsidRDefault="005001A9" w:rsidP="005001A9">
      <w:pPr>
        <w:pStyle w:val="ListParagraph"/>
        <w:numPr>
          <w:ilvl w:val="0"/>
          <w:numId w:val="15"/>
        </w:numPr>
        <w:spacing w:after="0" w:line="240" w:lineRule="auto"/>
        <w:rPr>
          <w:rFonts w:eastAsia="Times New Roman" w:cs="Arial"/>
          <w:szCs w:val="24"/>
          <w:lang w:eastAsia="en-GB"/>
        </w:rPr>
      </w:pPr>
      <w:r w:rsidRPr="005001A9">
        <w:rPr>
          <w:rFonts w:eastAsiaTheme="minorEastAsia" w:cs="Arial"/>
          <w:szCs w:val="24"/>
          <w:lang w:eastAsia="en-GB"/>
        </w:rPr>
        <w:t xml:space="preserve">clinical improvement with at least some respiratory recovery </w:t>
      </w:r>
    </w:p>
    <w:p w14:paraId="69A7C06C" w14:textId="77777777" w:rsidR="005001A9" w:rsidRPr="005001A9" w:rsidRDefault="005001A9" w:rsidP="005001A9">
      <w:pPr>
        <w:pStyle w:val="ListParagraph"/>
        <w:numPr>
          <w:ilvl w:val="0"/>
          <w:numId w:val="15"/>
        </w:numPr>
        <w:spacing w:after="0" w:line="240" w:lineRule="auto"/>
        <w:rPr>
          <w:rFonts w:eastAsia="Times New Roman" w:cs="Arial"/>
          <w:szCs w:val="24"/>
          <w:lang w:eastAsia="en-GB"/>
        </w:rPr>
      </w:pPr>
      <w:r w:rsidRPr="005001A9">
        <w:rPr>
          <w:rFonts w:eastAsiaTheme="minorEastAsia" w:cs="Arial"/>
          <w:szCs w:val="24"/>
          <w:lang w:eastAsia="en-GB"/>
        </w:rPr>
        <w:t>absence of fever (temperature greater than 37.8°C) for 48 hours without the use of medication</w:t>
      </w:r>
    </w:p>
    <w:p w14:paraId="638DE458" w14:textId="77777777" w:rsidR="005001A9" w:rsidRPr="005001A9" w:rsidRDefault="005001A9" w:rsidP="005001A9">
      <w:pPr>
        <w:pStyle w:val="ListParagraph"/>
        <w:numPr>
          <w:ilvl w:val="0"/>
          <w:numId w:val="15"/>
        </w:numPr>
        <w:spacing w:after="0" w:line="240" w:lineRule="auto"/>
        <w:rPr>
          <w:rFonts w:eastAsia="Times New Roman" w:cs="Arial"/>
          <w:szCs w:val="24"/>
          <w:lang w:eastAsia="en-GB"/>
        </w:rPr>
      </w:pPr>
      <w:r w:rsidRPr="005001A9">
        <w:rPr>
          <w:rFonts w:eastAsiaTheme="minorEastAsia" w:cs="Arial"/>
          <w:szCs w:val="24"/>
          <w:lang w:eastAsia="en-GB"/>
        </w:rPr>
        <w:t xml:space="preserve">no underlying severe immunosuppression </w:t>
      </w:r>
    </w:p>
    <w:p w14:paraId="557E0080" w14:textId="77777777" w:rsidR="005001A9" w:rsidRPr="005001A9" w:rsidRDefault="005001A9" w:rsidP="005001A9">
      <w:pPr>
        <w:pStyle w:val="ListParagraph"/>
        <w:numPr>
          <w:ilvl w:val="0"/>
          <w:numId w:val="15"/>
        </w:numPr>
        <w:spacing w:after="0" w:line="240" w:lineRule="auto"/>
        <w:rPr>
          <w:rFonts w:eastAsia="Times New Roman" w:cs="Arial"/>
          <w:szCs w:val="24"/>
          <w:lang w:eastAsia="en-GB"/>
        </w:rPr>
      </w:pPr>
      <w:r w:rsidRPr="005001A9">
        <w:rPr>
          <w:rFonts w:eastAsiaTheme="minorEastAsia" w:cs="Arial"/>
          <w:szCs w:val="24"/>
          <w:lang w:eastAsia="en-GB"/>
        </w:rPr>
        <w:t xml:space="preserve">It is possible for severely immunocompromised patients to remain infectious for prolonged periods, even if they do not display any symptoms of ARI. </w:t>
      </w:r>
    </w:p>
    <w:p w14:paraId="5DE603FE" w14:textId="77777777" w:rsidR="005001A9" w:rsidRPr="005001A9" w:rsidRDefault="005001A9" w:rsidP="005001A9">
      <w:pPr>
        <w:pStyle w:val="ListParagraph"/>
        <w:numPr>
          <w:ilvl w:val="0"/>
          <w:numId w:val="15"/>
        </w:numPr>
        <w:spacing w:after="0" w:line="240" w:lineRule="auto"/>
        <w:rPr>
          <w:rFonts w:eastAsia="Times New Roman" w:cs="Arial"/>
          <w:szCs w:val="24"/>
          <w:lang w:eastAsia="en-GB"/>
        </w:rPr>
      </w:pPr>
      <w:r w:rsidRPr="005001A9">
        <w:rPr>
          <w:rFonts w:eastAsiaTheme="minorEastAsia" w:cs="Arial"/>
          <w:szCs w:val="24"/>
          <w:lang w:eastAsia="en-GB"/>
        </w:rPr>
        <w:t>If a patient / resident is severely immunosuppressed consideration should be given to increasing the isolation period for to at least 14 days. Particularly if other residents are also in the highly immunosuppressed category.</w:t>
      </w:r>
    </w:p>
    <w:bookmarkEnd w:id="27"/>
    <w:p w14:paraId="3E2C1792" w14:textId="77777777" w:rsidR="0098777D" w:rsidRDefault="0098777D" w:rsidP="00D34E27">
      <w:pPr>
        <w:jc w:val="both"/>
      </w:pPr>
    </w:p>
    <w:p w14:paraId="01D89FF9" w14:textId="47D12959" w:rsidR="00E815A0" w:rsidRDefault="00E815A0" w:rsidP="00D34E27">
      <w:pPr>
        <w:jc w:val="both"/>
        <w:rPr>
          <w:rFonts w:cs="Arial"/>
          <w:color w:val="4472C4" w:themeColor="accent1"/>
          <w:szCs w:val="24"/>
        </w:rPr>
      </w:pPr>
      <w:r w:rsidRPr="003D54A1">
        <w:t xml:space="preserve">To support setting specific risk assessment tools are available to support organisations in applying the HoC here: </w:t>
      </w:r>
      <w:hyperlink r:id="rId29" w:history="1">
        <w:r w:rsidR="00D60060">
          <w:rPr>
            <w:rStyle w:val="Hyperlink"/>
            <w:rFonts w:cs="Arial"/>
            <w:color w:val="4472C4" w:themeColor="accent1"/>
            <w:szCs w:val="24"/>
          </w:rPr>
          <w:t>Criteria for completing a local risk assessment (social care)</w:t>
        </w:r>
      </w:hyperlink>
    </w:p>
    <w:p w14:paraId="7589EEA0" w14:textId="47947160" w:rsidR="0098777D" w:rsidRDefault="0098777D" w:rsidP="00503FC1"/>
    <w:p w14:paraId="24CE5674" w14:textId="1AD76D2B" w:rsidR="0098777D" w:rsidRDefault="0098777D" w:rsidP="00503FC1"/>
    <w:p w14:paraId="5583D9F8" w14:textId="3E4DE6A5" w:rsidR="0098777D" w:rsidRDefault="0098777D" w:rsidP="00503FC1"/>
    <w:p w14:paraId="4D9622D4" w14:textId="77777777" w:rsidR="0098777D" w:rsidRPr="003D54A1" w:rsidRDefault="0098777D" w:rsidP="00503FC1"/>
    <w:p w14:paraId="69935884" w14:textId="77777777" w:rsidR="00FF2492" w:rsidRDefault="00FD2B12" w:rsidP="00FF2492">
      <w:pPr>
        <w:pStyle w:val="TOCheading2"/>
        <w:rPr>
          <w:lang w:val="en-GB"/>
        </w:rPr>
      </w:pPr>
      <w:hyperlink r:id="rId30" w:anchor="surveillance-and-monitoring" w:history="1">
        <w:bookmarkStart w:id="28" w:name="_Toc124166202"/>
        <w:r w:rsidR="00FF2492" w:rsidRPr="003D54A1">
          <w:rPr>
            <w:lang w:val="en-GB"/>
          </w:rPr>
          <w:t>Surveillance</w:t>
        </w:r>
      </w:hyperlink>
      <w:r w:rsidR="00FF2492" w:rsidRPr="003D54A1">
        <w:rPr>
          <w:lang w:val="en-GB"/>
        </w:rPr>
        <w:t xml:space="preserve"> and monitoring/outbreak management/reporting</w:t>
      </w:r>
      <w:bookmarkEnd w:id="28"/>
    </w:p>
    <w:p w14:paraId="54B7A362" w14:textId="1657859D" w:rsidR="00FF2492" w:rsidRPr="003D54A1" w:rsidRDefault="00257236" w:rsidP="00D34E27">
      <w:pPr>
        <w:jc w:val="both"/>
      </w:pPr>
      <w:r w:rsidRPr="003D54A1">
        <w:t>O</w:t>
      </w:r>
      <w:r w:rsidR="00FF2492" w:rsidRPr="003D54A1">
        <w:t xml:space="preserve">ngoing surveillance of </w:t>
      </w:r>
      <w:r w:rsidR="00842DC9">
        <w:t xml:space="preserve">Severe Acute Respiratory Illness (SARI) </w:t>
      </w:r>
      <w:r w:rsidRPr="003D54A1">
        <w:t xml:space="preserve">should continue </w:t>
      </w:r>
      <w:r w:rsidR="00FF2492" w:rsidRPr="003D54A1">
        <w:t xml:space="preserve">within </w:t>
      </w:r>
      <w:r w:rsidRPr="003D54A1">
        <w:t>healthcare settings</w:t>
      </w:r>
      <w:r w:rsidR="00FF2492" w:rsidRPr="003D54A1">
        <w:t xml:space="preserve"> and for hospital/organisation onset cases (staff and patients/individuals).</w:t>
      </w:r>
    </w:p>
    <w:p w14:paraId="2403C1DE" w14:textId="7D91C9AF" w:rsidR="00FF2492" w:rsidRPr="00E06ECF" w:rsidRDefault="00FF2492" w:rsidP="00D34E27">
      <w:pPr>
        <w:jc w:val="both"/>
      </w:pPr>
      <w:r w:rsidRPr="003D54A1">
        <w:t>Positive cases of COVID-19</w:t>
      </w:r>
      <w:r w:rsidR="005B393F">
        <w:t xml:space="preserve"> and Flu</w:t>
      </w:r>
      <w:r w:rsidR="00F23F52" w:rsidRPr="003D54A1">
        <w:t xml:space="preserve"> </w:t>
      </w:r>
      <w:r w:rsidRPr="003D54A1">
        <w:t xml:space="preserve">identified after admission who fit the criteria for a healthcare associated infection (HCAI) should trigger a case investigation. If two or more cases are linked in time and place, an outbreak investigation should be </w:t>
      </w:r>
      <w:r w:rsidR="00FD3246" w:rsidRPr="00E06ECF">
        <w:t>undertaken.</w:t>
      </w:r>
    </w:p>
    <w:p w14:paraId="3F311E44" w14:textId="467A3CC1" w:rsidR="00FF2492" w:rsidRDefault="00FF2492" w:rsidP="00D34E27">
      <w:pPr>
        <w:jc w:val="both"/>
      </w:pPr>
      <w:r w:rsidRPr="00E06ECF">
        <w:lastRenderedPageBreak/>
        <w:t>COVID-19</w:t>
      </w:r>
      <w:r w:rsidR="005B393F" w:rsidRPr="00E06ECF">
        <w:t xml:space="preserve"> and Flu are</w:t>
      </w:r>
      <w:r w:rsidRPr="00E06ECF">
        <w:t xml:space="preserve"> notifiable organism</w:t>
      </w:r>
      <w:r w:rsidR="00FB1105" w:rsidRPr="00E06ECF">
        <w:t>s</w:t>
      </w:r>
      <w:r w:rsidRPr="00E06ECF">
        <w:t>/disease</w:t>
      </w:r>
      <w:r w:rsidR="00FB1105" w:rsidRPr="00E06ECF">
        <w:t>s</w:t>
      </w:r>
      <w:r w:rsidRPr="00E06ECF">
        <w:t>.  Further information on reporting can be found here -</w:t>
      </w:r>
      <w:hyperlink r:id="rId31" w:history="1">
        <w:r w:rsidR="00E06ECF" w:rsidRPr="00E06ECF">
          <w:rPr>
            <w:rStyle w:val="Hyperlink"/>
            <w:rFonts w:cs="Arial"/>
          </w:rPr>
          <w:t>https://www.legislation.gov.uk/wsi/2010/1546/contents</w:t>
        </w:r>
      </w:hyperlink>
      <w:r w:rsidR="00E06ECF">
        <w:rPr>
          <w:rFonts w:ascii="Segoe UI" w:hAnsi="Segoe UI" w:cs="Segoe UI"/>
          <w:color w:val="44546A"/>
        </w:rPr>
        <w:t xml:space="preserve"> </w:t>
      </w:r>
      <w:r w:rsidRPr="00E06ECF">
        <w:t xml:space="preserve"> </w:t>
      </w:r>
    </w:p>
    <w:p w14:paraId="5A62EE85" w14:textId="77777777" w:rsidR="009E4A53" w:rsidRPr="003D54A1" w:rsidRDefault="009E4A53" w:rsidP="008B73E7">
      <w:pPr>
        <w:rPr>
          <w:rFonts w:asciiTheme="minorHAnsi" w:hAnsiTheme="minorHAnsi" w:cstheme="minorHAnsi"/>
          <w:b/>
          <w:bCs/>
          <w:sz w:val="22"/>
        </w:rPr>
      </w:pPr>
    </w:p>
    <w:p w14:paraId="206539A9" w14:textId="77777777" w:rsidR="0003487B" w:rsidRPr="003D54A1" w:rsidRDefault="0003487B" w:rsidP="00D34E27">
      <w:pPr>
        <w:pStyle w:val="TOCheading2"/>
        <w:jc w:val="both"/>
        <w:rPr>
          <w:lang w:val="en-GB"/>
        </w:rPr>
      </w:pPr>
      <w:bookmarkStart w:id="29" w:name="_Toc124166203"/>
      <w:r w:rsidRPr="003D54A1">
        <w:rPr>
          <w:lang w:val="en-GB"/>
        </w:rPr>
        <w:t>IPC considerations for contacts of cases (inpatients)</w:t>
      </w:r>
      <w:bookmarkEnd w:id="29"/>
    </w:p>
    <w:p w14:paraId="6661DDF6" w14:textId="2B55A126" w:rsidR="00C10B70" w:rsidRPr="003D54A1" w:rsidRDefault="00452695" w:rsidP="00D34E27">
      <w:pPr>
        <w:jc w:val="both"/>
      </w:pPr>
      <w:r w:rsidRPr="003D54A1">
        <w:t xml:space="preserve">Inpatients who are considered contacts of </w:t>
      </w:r>
      <w:r w:rsidR="00FB1105">
        <w:t>COVID-19</w:t>
      </w:r>
      <w:r w:rsidR="005B393F">
        <w:t xml:space="preserve">/Flu </w:t>
      </w:r>
      <w:r w:rsidRPr="003D54A1">
        <w:t xml:space="preserve">cases </w:t>
      </w:r>
      <w:r w:rsidR="00A82B3C" w:rsidRPr="003D54A1">
        <w:t xml:space="preserve">(not part of an outbreak) </w:t>
      </w:r>
      <w:r w:rsidRPr="003D54A1">
        <w:t>are no longer required to isolate if they are asymptomatic.</w:t>
      </w:r>
      <w:r w:rsidR="00C10B70" w:rsidRPr="003D54A1">
        <w:t xml:space="preserve"> Asymptomatic testing of inpatients may be used</w:t>
      </w:r>
      <w:r w:rsidR="00D16A3C">
        <w:t xml:space="preserve"> as part of</w:t>
      </w:r>
      <w:r w:rsidR="008A3700">
        <w:t xml:space="preserve"> an Outbreak Control </w:t>
      </w:r>
      <w:r w:rsidR="0099012C">
        <w:t>Team (</w:t>
      </w:r>
      <w:r w:rsidR="00D16A3C">
        <w:t>OCT</w:t>
      </w:r>
      <w:r w:rsidR="008A3700">
        <w:t>)</w:t>
      </w:r>
      <w:r w:rsidR="00C10B70" w:rsidRPr="003D54A1">
        <w:t xml:space="preserve"> to monitor</w:t>
      </w:r>
      <w:r w:rsidR="005B3F9B" w:rsidRPr="003D54A1">
        <w:t xml:space="preserve"> </w:t>
      </w:r>
      <w:r w:rsidR="00C10B70" w:rsidRPr="003D54A1">
        <w:t>contacts and mitigate risks if the patient remains in hospital</w:t>
      </w:r>
      <w:r w:rsidR="00A82B3C" w:rsidRPr="003D54A1">
        <w:t xml:space="preserve"> or other care setting</w:t>
      </w:r>
      <w:r w:rsidR="00D07E95" w:rsidRPr="003D54A1">
        <w:t xml:space="preserve"> </w:t>
      </w:r>
      <w:proofErr w:type="gramStart"/>
      <w:r w:rsidR="00D07E95" w:rsidRPr="003D54A1">
        <w:t>e.g.</w:t>
      </w:r>
      <w:proofErr w:type="gramEnd"/>
      <w:r w:rsidR="00D07E95" w:rsidRPr="003D54A1">
        <w:t xml:space="preserve"> LFD</w:t>
      </w:r>
      <w:r w:rsidR="00D82001" w:rsidRPr="003D54A1">
        <w:t xml:space="preserve"> or rapid antigen testing</w:t>
      </w:r>
      <w:r w:rsidR="005B393F">
        <w:t xml:space="preserve"> or local protocol</w:t>
      </w:r>
      <w:r w:rsidR="00C10B70" w:rsidRPr="003D54A1">
        <w:t>.</w:t>
      </w:r>
    </w:p>
    <w:p w14:paraId="538D10D7" w14:textId="54DA9A04" w:rsidR="00452695" w:rsidRPr="003D54A1" w:rsidRDefault="00452695" w:rsidP="00D34E27">
      <w:pPr>
        <w:jc w:val="both"/>
      </w:pPr>
      <w:r w:rsidRPr="003D54A1">
        <w:t xml:space="preserve">If symptoms occur </w:t>
      </w:r>
      <w:r w:rsidR="00257236" w:rsidRPr="003D54A1">
        <w:t>contacts</w:t>
      </w:r>
      <w:r w:rsidRPr="003D54A1">
        <w:t xml:space="preserve"> should be tested</w:t>
      </w:r>
      <w:r w:rsidR="00D82001" w:rsidRPr="003D54A1">
        <w:t xml:space="preserve"> as per testing framework</w:t>
      </w:r>
      <w:r w:rsidRPr="003D54A1">
        <w:t xml:space="preserve"> and isolated or cohorted with other symptomatic contacts of </w:t>
      </w:r>
      <w:r w:rsidR="00FB1105">
        <w:t xml:space="preserve">the </w:t>
      </w:r>
      <w:r w:rsidR="00D82001" w:rsidRPr="003D54A1">
        <w:t xml:space="preserve">same </w:t>
      </w:r>
      <w:r w:rsidRPr="003D54A1">
        <w:t xml:space="preserve">case. </w:t>
      </w:r>
    </w:p>
    <w:p w14:paraId="3B525E41" w14:textId="58840E0D" w:rsidR="002F12D9" w:rsidRPr="003D54A1" w:rsidRDefault="007B11C3" w:rsidP="002F12D9">
      <w:pPr>
        <w:rPr>
          <w:shd w:val="clear" w:color="auto" w:fill="FFFFFF"/>
        </w:rPr>
      </w:pPr>
      <w:r w:rsidRPr="003D54A1">
        <w:t xml:space="preserve">Refer to </w:t>
      </w:r>
      <w:hyperlink r:id="rId32" w:history="1">
        <w:r w:rsidR="002F12D9" w:rsidRPr="0037304A">
          <w:rPr>
            <w:color w:val="0000FF"/>
            <w:u w:val="single"/>
          </w:rPr>
          <w:t>Patient testing framework for autumn/winter 2023 (WHC/2023/037) | GOV.WALES</w:t>
        </w:r>
      </w:hyperlink>
    </w:p>
    <w:p w14:paraId="65CBE637" w14:textId="61F6AB65" w:rsidR="007B11C3" w:rsidRPr="003D54A1" w:rsidRDefault="007B11C3" w:rsidP="00225590"/>
    <w:p w14:paraId="5A4BAB37" w14:textId="5605E377" w:rsidR="003010DD" w:rsidRPr="009E4A53" w:rsidRDefault="003010DD" w:rsidP="008B73E7">
      <w:pPr>
        <w:pStyle w:val="TOCheading2"/>
        <w:rPr>
          <w:lang w:val="en-GB"/>
        </w:rPr>
      </w:pPr>
      <w:bookmarkStart w:id="30" w:name="_Toc124166204"/>
      <w:r w:rsidRPr="003D54A1">
        <w:rPr>
          <w:lang w:val="en-GB"/>
        </w:rPr>
        <w:t xml:space="preserve">Occupational health, vaccination and </w:t>
      </w:r>
      <w:r w:rsidR="00B341BE" w:rsidRPr="009E4A53">
        <w:rPr>
          <w:lang w:val="en-GB"/>
        </w:rPr>
        <w:t xml:space="preserve">IPC considerations for </w:t>
      </w:r>
      <w:r w:rsidR="00E71831">
        <w:rPr>
          <w:lang w:val="en-GB"/>
        </w:rPr>
        <w:t xml:space="preserve">health and care </w:t>
      </w:r>
      <w:r w:rsidR="00B341BE" w:rsidRPr="009E4A53">
        <w:rPr>
          <w:lang w:val="en-GB"/>
        </w:rPr>
        <w:t>staff</w:t>
      </w:r>
      <w:bookmarkEnd w:id="30"/>
      <w:r w:rsidR="00E71831">
        <w:rPr>
          <w:lang w:val="en-GB"/>
        </w:rPr>
        <w:t xml:space="preserve"> </w:t>
      </w:r>
    </w:p>
    <w:p w14:paraId="23F431A7" w14:textId="77777777" w:rsidR="003010DD" w:rsidRPr="003D54A1" w:rsidRDefault="003010DD" w:rsidP="00D34E27">
      <w:pPr>
        <w:jc w:val="both"/>
      </w:pPr>
      <w:r w:rsidRPr="003D54A1">
        <w:t xml:space="preserve">Systems should remain in place to ensure that vaccination and testing policies are implemented as advised by occupational health/public health teams. </w:t>
      </w:r>
    </w:p>
    <w:p w14:paraId="6A2190E2" w14:textId="61536E6F" w:rsidR="003010DD" w:rsidRPr="003D54A1" w:rsidRDefault="003010DD" w:rsidP="00D34E27">
      <w:pPr>
        <w:jc w:val="both"/>
      </w:pPr>
      <w:r w:rsidRPr="003D54A1">
        <w:t>The vaccination status of staff may be considered when making staffing decisions for areas where</w:t>
      </w:r>
      <w:r w:rsidRPr="003D54A1">
        <w:rPr>
          <w:lang w:eastAsia="en-GB"/>
        </w:rPr>
        <w:t xml:space="preserve"> </w:t>
      </w:r>
      <w:r w:rsidRPr="003D54A1">
        <w:rPr>
          <w:b/>
          <w:bCs/>
          <w:lang w:eastAsia="en-GB"/>
        </w:rPr>
        <w:t xml:space="preserve">suspected or confirmed </w:t>
      </w:r>
      <w:r w:rsidRPr="003D54A1">
        <w:rPr>
          <w:lang w:eastAsia="en-GB"/>
        </w:rPr>
        <w:t>COVID-19</w:t>
      </w:r>
      <w:r w:rsidR="005B393F">
        <w:rPr>
          <w:lang w:eastAsia="en-GB"/>
        </w:rPr>
        <w:t xml:space="preserve">/Flu </w:t>
      </w:r>
      <w:r w:rsidRPr="003D54A1">
        <w:rPr>
          <w:lang w:eastAsia="en-GB"/>
        </w:rPr>
        <w:t>patients/individuals are cared for</w:t>
      </w:r>
      <w:r w:rsidRPr="003D54A1">
        <w:t xml:space="preserve">.  </w:t>
      </w:r>
    </w:p>
    <w:p w14:paraId="24C0174E" w14:textId="01B36739" w:rsidR="003010DD" w:rsidRDefault="003010DD" w:rsidP="00D34E27">
      <w:pPr>
        <w:jc w:val="both"/>
      </w:pPr>
      <w:r w:rsidRPr="003D54A1">
        <w:t>A risk assessment is required for health and care staff who may be at high risk of complications from COVID-19</w:t>
      </w:r>
      <w:r w:rsidR="005B393F">
        <w:t xml:space="preserve"> or Flu</w:t>
      </w:r>
      <w:r w:rsidR="008A3700">
        <w:t xml:space="preserve"> and also maybe </w:t>
      </w:r>
      <w:r w:rsidR="00DF14A0">
        <w:t>available</w:t>
      </w:r>
      <w:r w:rsidR="008A3700">
        <w:t xml:space="preserve"> for </w:t>
      </w:r>
      <w:r w:rsidR="00DF14A0">
        <w:t>anti-viral treatments.</w:t>
      </w:r>
    </w:p>
    <w:p w14:paraId="21B6E1AC" w14:textId="222A25A9" w:rsidR="00AD2582" w:rsidRPr="00F3384A" w:rsidRDefault="00E90C51" w:rsidP="00F41C97">
      <w:pPr>
        <w:pStyle w:val="pf0"/>
        <w:rPr>
          <w:rFonts w:ascii="Arial" w:eastAsiaTheme="majorEastAsia" w:hAnsi="Arial" w:cs="Arial"/>
          <w:color w:val="0B0C0C"/>
          <w:shd w:val="clear" w:color="auto" w:fill="FFFFFF"/>
        </w:rPr>
      </w:pPr>
      <w:r w:rsidRPr="00F3384A">
        <w:rPr>
          <w:rStyle w:val="cf01"/>
          <w:rFonts w:ascii="Arial" w:eastAsiaTheme="majorEastAsia" w:hAnsi="Arial" w:cs="Arial"/>
          <w:sz w:val="24"/>
          <w:szCs w:val="24"/>
        </w:rPr>
        <w:t xml:space="preserve">Staff who have </w:t>
      </w:r>
      <w:r w:rsidR="00AD2582" w:rsidRPr="00F3384A">
        <w:rPr>
          <w:rFonts w:ascii="Arial" w:hAnsi="Arial" w:cs="Arial"/>
          <w:color w:val="1F1F1F"/>
        </w:rPr>
        <w:t>symptom</w:t>
      </w:r>
      <w:r w:rsidRPr="00F3384A">
        <w:rPr>
          <w:rFonts w:ascii="Arial" w:hAnsi="Arial" w:cs="Arial"/>
          <w:color w:val="1F1F1F"/>
        </w:rPr>
        <w:t>s</w:t>
      </w:r>
      <w:r w:rsidR="00AD2582" w:rsidRPr="00F3384A">
        <w:rPr>
          <w:rFonts w:ascii="Arial" w:hAnsi="Arial" w:cs="Arial"/>
          <w:color w:val="1F1F1F"/>
        </w:rPr>
        <w:t xml:space="preserve"> of a respiratory tract infection </w:t>
      </w:r>
      <w:r w:rsidR="00B903AC">
        <w:rPr>
          <w:rFonts w:ascii="Arial" w:hAnsi="Arial" w:cs="Arial"/>
          <w:color w:val="1F1F1F"/>
        </w:rPr>
        <w:t>(</w:t>
      </w:r>
      <w:r w:rsidR="00AD2582" w:rsidRPr="00F3384A">
        <w:rPr>
          <w:rFonts w:ascii="Arial" w:hAnsi="Arial" w:cs="Arial"/>
          <w:color w:val="1F1F1F"/>
        </w:rPr>
        <w:t>including COVID-19</w:t>
      </w:r>
      <w:r w:rsidR="00B903AC">
        <w:rPr>
          <w:rFonts w:ascii="Arial" w:hAnsi="Arial" w:cs="Arial"/>
          <w:color w:val="1F1F1F"/>
        </w:rPr>
        <w:t xml:space="preserve">) </w:t>
      </w:r>
      <w:r w:rsidR="00762805" w:rsidRPr="00F3384A">
        <w:rPr>
          <w:rFonts w:ascii="Arial" w:hAnsi="Arial" w:cs="Arial"/>
          <w:color w:val="1F1F1F"/>
        </w:rPr>
        <w:t xml:space="preserve">including a </w:t>
      </w:r>
      <w:r w:rsidR="009664FE" w:rsidRPr="00F3384A">
        <w:rPr>
          <w:rStyle w:val="cf01"/>
          <w:rFonts w:ascii="Arial" w:hAnsi="Arial" w:cs="Arial"/>
          <w:sz w:val="24"/>
          <w:szCs w:val="24"/>
        </w:rPr>
        <w:t xml:space="preserve">high temperature or do not feel well enough to go to work or carry out normal </w:t>
      </w:r>
      <w:r w:rsidR="00206C50" w:rsidRPr="00F3384A">
        <w:rPr>
          <w:rStyle w:val="cf01"/>
          <w:rFonts w:ascii="Arial" w:hAnsi="Arial" w:cs="Arial"/>
          <w:sz w:val="24"/>
          <w:szCs w:val="24"/>
        </w:rPr>
        <w:t xml:space="preserve">activities, </w:t>
      </w:r>
      <w:r w:rsidR="00206C50" w:rsidRPr="00F3384A">
        <w:rPr>
          <w:rFonts w:ascii="Arial" w:hAnsi="Arial" w:cs="Arial"/>
          <w:color w:val="1F1F1F"/>
        </w:rPr>
        <w:t>is</w:t>
      </w:r>
      <w:r w:rsidR="00AD2582" w:rsidRPr="00F3384A">
        <w:rPr>
          <w:rFonts w:ascii="Arial" w:hAnsi="Arial" w:cs="Arial"/>
          <w:color w:val="1F1F1F"/>
        </w:rPr>
        <w:t xml:space="preserve"> advised to stay at h</w:t>
      </w:r>
      <w:r w:rsidR="00620001" w:rsidRPr="00F3384A">
        <w:rPr>
          <w:rFonts w:ascii="Arial" w:hAnsi="Arial" w:cs="Arial"/>
          <w:color w:val="1F1F1F"/>
        </w:rPr>
        <w:t xml:space="preserve">ome </w:t>
      </w:r>
      <w:r w:rsidR="00AD2582" w:rsidRPr="00F3384A">
        <w:rPr>
          <w:rFonts w:ascii="Arial" w:hAnsi="Arial" w:cs="Arial"/>
          <w:color w:val="1F1F1F"/>
        </w:rPr>
        <w:t>and notify their employer as soon as possible. </w:t>
      </w:r>
      <w:r w:rsidR="00F06C2A">
        <w:rPr>
          <w:rStyle w:val="cf01"/>
          <w:rFonts w:ascii="Arial" w:hAnsi="Arial" w:cs="Arial"/>
          <w:sz w:val="24"/>
          <w:szCs w:val="24"/>
        </w:rPr>
        <w:t xml:space="preserve">They are to </w:t>
      </w:r>
      <w:r w:rsidR="009664FE" w:rsidRPr="00F3384A">
        <w:rPr>
          <w:rStyle w:val="cf01"/>
          <w:rFonts w:ascii="Arial" w:hAnsi="Arial" w:cs="Arial"/>
          <w:sz w:val="24"/>
          <w:szCs w:val="24"/>
        </w:rPr>
        <w:t>avoid contact with other people</w:t>
      </w:r>
      <w:r w:rsidR="002328B2">
        <w:rPr>
          <w:rStyle w:val="cf01"/>
          <w:rFonts w:ascii="Arial" w:hAnsi="Arial" w:cs="Arial"/>
          <w:sz w:val="24"/>
          <w:szCs w:val="24"/>
        </w:rPr>
        <w:t>.</w:t>
      </w:r>
    </w:p>
    <w:p w14:paraId="7FFC5228" w14:textId="404AA9E7" w:rsidR="00AD2582" w:rsidRDefault="00AD2582" w:rsidP="00AD2582">
      <w:pPr>
        <w:pStyle w:val="NormalWeb"/>
        <w:shd w:val="clear" w:color="auto" w:fill="FFFFFF"/>
        <w:spacing w:before="0" w:beforeAutospacing="0" w:after="0" w:afterAutospacing="0"/>
        <w:jc w:val="both"/>
        <w:rPr>
          <w:rFonts w:ascii="Arial" w:hAnsi="Arial" w:cs="Arial"/>
          <w:color w:val="1F1F1F"/>
        </w:rPr>
      </w:pPr>
      <w:r w:rsidRPr="00F657F4">
        <w:rPr>
          <w:rFonts w:ascii="Arial" w:hAnsi="Arial" w:cs="Arial"/>
          <w:color w:val="1F1F1F"/>
        </w:rPr>
        <w:t>When they no longer feel unwell and do not have /not had a high temperature</w:t>
      </w:r>
      <w:r w:rsidR="00F3384A">
        <w:rPr>
          <w:rFonts w:ascii="Arial" w:hAnsi="Arial" w:cs="Arial"/>
          <w:color w:val="1F1F1F"/>
        </w:rPr>
        <w:t xml:space="preserve"> without the use of medication such as paracetamol</w:t>
      </w:r>
      <w:r w:rsidRPr="00F657F4">
        <w:rPr>
          <w:rFonts w:ascii="Arial" w:hAnsi="Arial" w:cs="Arial"/>
          <w:color w:val="1F1F1F"/>
        </w:rPr>
        <w:t xml:space="preserve"> and are ready to return to work they may wish to discuss with their employer ways to minimise any risk as some may still be infectious. This may include undertaking a risk assessment if the staff member works with patients whose immune system means that they are at higher risk of serious illness despite vaccination.</w:t>
      </w:r>
    </w:p>
    <w:p w14:paraId="7D7D7AF3" w14:textId="77777777" w:rsidR="00AD2582" w:rsidRDefault="00AD2582" w:rsidP="00D34E27">
      <w:pPr>
        <w:jc w:val="both"/>
      </w:pPr>
    </w:p>
    <w:p w14:paraId="0FE0E507" w14:textId="225DA486" w:rsidR="003010DD" w:rsidRPr="003D54A1" w:rsidRDefault="003010DD" w:rsidP="00D34E27">
      <w:pPr>
        <w:jc w:val="both"/>
      </w:pPr>
      <w:r w:rsidRPr="003D54A1">
        <w:t>Symptomatic staff should avoid contact with people both in the h</w:t>
      </w:r>
      <w:r w:rsidR="00036F16" w:rsidRPr="003D54A1">
        <w:t>ealthcare setting</w:t>
      </w:r>
      <w:r w:rsidRPr="003D54A1">
        <w:t xml:space="preserve"> and in the general community. Bank, agency, and locum staff should follow the same deployment advice as permanent staff. </w:t>
      </w:r>
    </w:p>
    <w:p w14:paraId="5636B2B8" w14:textId="3AB4D329" w:rsidR="007B11C3" w:rsidRPr="003D54A1" w:rsidRDefault="007B11C3" w:rsidP="007B11C3">
      <w:r w:rsidRPr="003D54A1">
        <w:lastRenderedPageBreak/>
        <w:t xml:space="preserve">Refer to </w:t>
      </w:r>
      <w:hyperlink r:id="rId33" w:history="1">
        <w:r w:rsidR="00AD2582" w:rsidRPr="00AD2582">
          <w:rPr>
            <w:color w:val="0000FF"/>
            <w:u w:val="single"/>
          </w:rPr>
          <w:t>Advice for health and care staff on respiratory viruses including COVID-19: guidance | GOV.WALES</w:t>
        </w:r>
      </w:hyperlink>
    </w:p>
    <w:p w14:paraId="0B731EDA" w14:textId="77777777" w:rsidR="00DC161C" w:rsidRPr="003D54A1" w:rsidRDefault="003010DD">
      <w:pPr>
        <w:rPr>
          <w:color w:val="0563C1" w:themeColor="hyperlink"/>
          <w:u w:val="single"/>
        </w:rPr>
        <w:sectPr w:rsidR="00DC161C" w:rsidRPr="003D54A1" w:rsidSect="00076463">
          <w:type w:val="continuous"/>
          <w:pgSz w:w="11906" w:h="16838"/>
          <w:pgMar w:top="1440" w:right="1440" w:bottom="1440" w:left="1440" w:header="708" w:footer="708" w:gutter="0"/>
          <w:cols w:space="708"/>
          <w:titlePg/>
          <w:docGrid w:linePitch="360"/>
        </w:sectPr>
      </w:pPr>
      <w:r w:rsidRPr="003D54A1">
        <w:t xml:space="preserve"> </w:t>
      </w:r>
    </w:p>
    <w:p w14:paraId="5A735B26" w14:textId="4C8B4E0A" w:rsidR="00DC161C" w:rsidRPr="003D54A1" w:rsidRDefault="00DC161C" w:rsidP="007C1264">
      <w:pPr>
        <w:pStyle w:val="TOCheading2"/>
        <w:numPr>
          <w:ilvl w:val="0"/>
          <w:numId w:val="0"/>
        </w:numPr>
        <w:ind w:left="644" w:hanging="360"/>
        <w:rPr>
          <w:lang w:val="en-GB"/>
        </w:rPr>
      </w:pPr>
      <w:bookmarkStart w:id="31" w:name="_Toc124166205"/>
      <w:r w:rsidRPr="003D54A1">
        <w:rPr>
          <w:shd w:val="clear" w:color="auto" w:fill="FFFFFF"/>
          <w:lang w:val="en-GB"/>
        </w:rPr>
        <w:lastRenderedPageBreak/>
        <w:t xml:space="preserve">Appendix 1: Personal Protective Equipment </w:t>
      </w:r>
      <w:r w:rsidRPr="003D54A1">
        <w:rPr>
          <w:lang w:val="en-GB"/>
        </w:rPr>
        <w:t xml:space="preserve">required while providing direct care for patients with suspected or confirmed </w:t>
      </w:r>
      <w:r w:rsidR="005B393F">
        <w:rPr>
          <w:lang w:val="en-GB"/>
        </w:rPr>
        <w:t xml:space="preserve">Acute Respiratory </w:t>
      </w:r>
      <w:bookmarkEnd w:id="31"/>
      <w:r w:rsidR="00ED2F0D">
        <w:rPr>
          <w:lang w:val="en-GB"/>
        </w:rPr>
        <w:t>Infection</w:t>
      </w:r>
      <w:r w:rsidR="00AC7335">
        <w:rPr>
          <w:lang w:val="en-GB"/>
        </w:rPr>
        <w:t xml:space="preserve"> (including COVID-19)</w:t>
      </w:r>
      <w:r w:rsidR="00ED2F0D">
        <w:rPr>
          <w:lang w:val="en-GB"/>
        </w:rPr>
        <w:t>.</w:t>
      </w:r>
    </w:p>
    <w:p w14:paraId="46E08B1F" w14:textId="77777777" w:rsidR="00DC161C" w:rsidRPr="003D54A1" w:rsidRDefault="00DC161C" w:rsidP="00DC161C">
      <w:pPr>
        <w:rPr>
          <w:shd w:val="clear" w:color="auto" w:fill="FFFFFF"/>
        </w:rPr>
      </w:pPr>
      <w:r w:rsidRPr="003D54A1">
        <w:rPr>
          <w:shd w:val="clear" w:color="auto" w:fill="FFFFFF"/>
        </w:rPr>
        <w:t>Before undertaking any procedure, staff should assess any likely blood and body fluid exposure risk and ensure </w:t>
      </w:r>
      <w:r w:rsidRPr="003D54A1">
        <w:t>PPE</w:t>
      </w:r>
      <w:r w:rsidRPr="003D54A1">
        <w:rPr>
          <w:shd w:val="clear" w:color="auto" w:fill="FFFFFF"/>
        </w:rPr>
        <w:t> is worn that provides adequate protection against the risks associated with the procedure or task being undertaken.</w:t>
      </w:r>
    </w:p>
    <w:p w14:paraId="2F45EFCA" w14:textId="77777777" w:rsidR="00DC161C" w:rsidRPr="003D54A1" w:rsidRDefault="00DC161C" w:rsidP="00DC161C">
      <w:r w:rsidRPr="003D54A1">
        <w:t>If there is no direct contact with the patient or their environment, gloves and aprons/gowns are not required.</w:t>
      </w:r>
    </w:p>
    <w:p w14:paraId="0B5244BE" w14:textId="0258E026" w:rsidR="00136572" w:rsidRDefault="00DC161C" w:rsidP="0054035C">
      <w:pPr>
        <w:spacing w:line="240" w:lineRule="auto"/>
        <w:contextualSpacing/>
      </w:pPr>
      <w:r w:rsidRPr="003D54A1">
        <w:t>Refer to</w:t>
      </w:r>
      <w:r w:rsidR="00136572">
        <w:t xml:space="preserve"> NIPCM Wales: </w:t>
      </w:r>
    </w:p>
    <w:p w14:paraId="74341FF8" w14:textId="17ADFF18" w:rsidR="00136572" w:rsidRDefault="00FD2B12" w:rsidP="0054035C">
      <w:pPr>
        <w:spacing w:line="240" w:lineRule="auto"/>
        <w:contextualSpacing/>
        <w:rPr>
          <w:rFonts w:cs="Arial"/>
          <w:szCs w:val="24"/>
        </w:rPr>
      </w:pPr>
      <w:hyperlink r:id="rId34" w:history="1">
        <w:r w:rsidR="00136572" w:rsidRPr="00136572">
          <w:rPr>
            <w:rStyle w:val="Hyperlink"/>
          </w:rPr>
          <w:t>Appendix 6 ‘</w:t>
        </w:r>
      </w:hyperlink>
      <w:r w:rsidR="00DC161C" w:rsidRPr="0054035C">
        <w:rPr>
          <w:i/>
        </w:rPr>
        <w:t>guidance on donning (putting on) and doffing (removing) </w:t>
      </w:r>
      <w:proofErr w:type="gramStart"/>
      <w:r w:rsidR="00DC161C" w:rsidRPr="0054035C">
        <w:rPr>
          <w:rFonts w:cs="Arial"/>
          <w:i/>
          <w:szCs w:val="24"/>
        </w:rPr>
        <w:t>PPE</w:t>
      </w:r>
      <w:proofErr w:type="gramEnd"/>
      <w:r w:rsidR="00DC161C" w:rsidRPr="003D54A1">
        <w:rPr>
          <w:rFonts w:cs="Arial"/>
          <w:szCs w:val="24"/>
        </w:rPr>
        <w:t> </w:t>
      </w:r>
    </w:p>
    <w:p w14:paraId="290CF5D2" w14:textId="091FF305" w:rsidR="00DC161C" w:rsidRPr="003D54A1" w:rsidRDefault="00FD2B12" w:rsidP="0054035C">
      <w:pPr>
        <w:spacing w:line="240" w:lineRule="auto"/>
        <w:contextualSpacing/>
        <w:rPr>
          <w:szCs w:val="24"/>
        </w:rPr>
      </w:pPr>
      <w:hyperlink r:id="rId35" w:history="1">
        <w:r w:rsidR="00136572" w:rsidRPr="00136572">
          <w:rPr>
            <w:rStyle w:val="Hyperlink"/>
            <w:rFonts w:cs="Arial"/>
            <w:szCs w:val="24"/>
          </w:rPr>
          <w:t>Appendix 16</w:t>
        </w:r>
      </w:hyperlink>
      <w:r w:rsidR="00136572">
        <w:rPr>
          <w:rFonts w:cs="Arial"/>
          <w:szCs w:val="24"/>
        </w:rPr>
        <w:t xml:space="preserve"> </w:t>
      </w:r>
      <w:r w:rsidR="005B393F" w:rsidRPr="0054035C">
        <w:rPr>
          <w:i/>
        </w:rPr>
        <w:t>Selection of Personal Protective Equipment (PPE) by Healthcare Workers (HCWs) during the provision of patient care</w:t>
      </w:r>
      <w:r w:rsidR="005B393F" w:rsidRPr="0054035C">
        <w:t xml:space="preserve"> </w:t>
      </w:r>
    </w:p>
    <w:p w14:paraId="713F402B" w14:textId="77777777" w:rsidR="00DC161C" w:rsidRPr="003D54A1" w:rsidRDefault="00DC161C" w:rsidP="00DC161C">
      <w:pPr>
        <w:pStyle w:val="Caption"/>
        <w:keepNext/>
      </w:pPr>
    </w:p>
    <w:tbl>
      <w:tblPr>
        <w:tblStyle w:val="ListTable3-Accent1"/>
        <w:tblW w:w="5000" w:type="pct"/>
        <w:tblLook w:val="04A0" w:firstRow="1" w:lastRow="0" w:firstColumn="1" w:lastColumn="0" w:noHBand="0" w:noVBand="1"/>
      </w:tblPr>
      <w:tblGrid>
        <w:gridCol w:w="3627"/>
        <w:gridCol w:w="1922"/>
        <w:gridCol w:w="3255"/>
        <w:gridCol w:w="2834"/>
        <w:gridCol w:w="2310"/>
      </w:tblGrid>
      <w:tr w:rsidR="00DC161C" w:rsidRPr="003D54A1" w14:paraId="0DD0E6EA" w14:textId="77777777" w:rsidTr="00B211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00" w:type="pct"/>
          </w:tcPr>
          <w:p w14:paraId="228DAB62" w14:textId="77777777" w:rsidR="00DC161C" w:rsidRPr="003D54A1" w:rsidRDefault="00DC161C" w:rsidP="00015F7C">
            <w:pPr>
              <w:pStyle w:val="NormalWeb"/>
              <w:spacing w:before="300" w:beforeAutospacing="0" w:after="300" w:afterAutospacing="0"/>
              <w:rPr>
                <w:rFonts w:ascii="Arial" w:hAnsi="Arial" w:cs="Arial"/>
                <w:color w:val="0B0C0C"/>
                <w:sz w:val="22"/>
                <w:szCs w:val="22"/>
              </w:rPr>
            </w:pPr>
            <w:r w:rsidRPr="003D54A1">
              <w:rPr>
                <w:rFonts w:ascii="Arial" w:hAnsi="Arial" w:cs="Arial"/>
                <w:color w:val="0B0C0C"/>
                <w:sz w:val="22"/>
                <w:szCs w:val="22"/>
              </w:rPr>
              <w:t>PPE required by transmission/exposure</w:t>
            </w:r>
          </w:p>
        </w:tc>
        <w:tc>
          <w:tcPr>
            <w:tcW w:w="689" w:type="pct"/>
          </w:tcPr>
          <w:p w14:paraId="2FF48886" w14:textId="77777777" w:rsidR="00DC161C" w:rsidRPr="003D54A1" w:rsidRDefault="00DC161C" w:rsidP="00015F7C">
            <w:pPr>
              <w:pStyle w:val="NormalWeb"/>
              <w:spacing w:before="300" w:beforeAutospacing="0" w:after="300" w:afterAutospacing="0"/>
              <w:cnfStyle w:val="100000000000" w:firstRow="1" w:lastRow="0" w:firstColumn="0" w:lastColumn="0" w:oddVBand="0" w:evenVBand="0" w:oddHBand="0" w:evenHBand="0" w:firstRowFirstColumn="0" w:firstRowLastColumn="0" w:lastRowFirstColumn="0" w:lastRowLastColumn="0"/>
              <w:rPr>
                <w:rFonts w:ascii="Arial" w:hAnsi="Arial" w:cs="Arial"/>
                <w:color w:val="0B0C0C"/>
                <w:sz w:val="22"/>
                <w:szCs w:val="22"/>
              </w:rPr>
            </w:pPr>
            <w:r w:rsidRPr="003D54A1">
              <w:rPr>
                <w:rFonts w:ascii="Arial" w:hAnsi="Arial" w:cs="Arial"/>
                <w:color w:val="0B0C0C"/>
                <w:sz w:val="22"/>
                <w:szCs w:val="22"/>
              </w:rPr>
              <w:t>Disposable gloves</w:t>
            </w:r>
          </w:p>
        </w:tc>
        <w:tc>
          <w:tcPr>
            <w:tcW w:w="1167" w:type="pct"/>
          </w:tcPr>
          <w:p w14:paraId="53263FD1" w14:textId="77777777" w:rsidR="00DC161C" w:rsidRPr="003D54A1" w:rsidRDefault="00DC161C" w:rsidP="00015F7C">
            <w:pPr>
              <w:pStyle w:val="NormalWeb"/>
              <w:spacing w:before="300" w:beforeAutospacing="0" w:after="300" w:afterAutospacing="0"/>
              <w:cnfStyle w:val="100000000000" w:firstRow="1" w:lastRow="0" w:firstColumn="0" w:lastColumn="0" w:oddVBand="0" w:evenVBand="0" w:oddHBand="0" w:evenHBand="0" w:firstRowFirstColumn="0" w:firstRowLastColumn="0" w:lastRowFirstColumn="0" w:lastRowLastColumn="0"/>
              <w:rPr>
                <w:rFonts w:ascii="Arial" w:hAnsi="Arial" w:cs="Arial"/>
                <w:color w:val="0B0C0C"/>
                <w:sz w:val="22"/>
                <w:szCs w:val="22"/>
              </w:rPr>
            </w:pPr>
            <w:r w:rsidRPr="003D54A1">
              <w:rPr>
                <w:rFonts w:ascii="Arial" w:hAnsi="Arial" w:cs="Arial"/>
                <w:color w:val="0B0C0C"/>
                <w:sz w:val="22"/>
                <w:szCs w:val="22"/>
              </w:rPr>
              <w:t>Disposable/reusable fluid-resistant apron/gown</w:t>
            </w:r>
          </w:p>
        </w:tc>
        <w:tc>
          <w:tcPr>
            <w:tcW w:w="1016" w:type="pct"/>
          </w:tcPr>
          <w:p w14:paraId="7D6B052C" w14:textId="77777777" w:rsidR="00DC161C" w:rsidRPr="003D54A1" w:rsidRDefault="00DC161C" w:rsidP="00015F7C">
            <w:pPr>
              <w:pStyle w:val="NormalWeb"/>
              <w:spacing w:before="300" w:beforeAutospacing="0" w:after="300" w:afterAutospacing="0"/>
              <w:cnfStyle w:val="100000000000" w:firstRow="1" w:lastRow="0" w:firstColumn="0" w:lastColumn="0" w:oddVBand="0" w:evenVBand="0" w:oddHBand="0" w:evenHBand="0" w:firstRowFirstColumn="0" w:firstRowLastColumn="0" w:lastRowFirstColumn="0" w:lastRowLastColumn="0"/>
              <w:rPr>
                <w:rFonts w:ascii="Arial" w:hAnsi="Arial" w:cs="Arial"/>
                <w:color w:val="0B0C0C"/>
                <w:sz w:val="22"/>
                <w:szCs w:val="22"/>
              </w:rPr>
            </w:pPr>
            <w:r w:rsidRPr="003D54A1">
              <w:rPr>
                <w:rFonts w:ascii="Arial" w:hAnsi="Arial" w:cs="Arial"/>
                <w:color w:val="0B0C0C"/>
                <w:sz w:val="22"/>
                <w:szCs w:val="22"/>
              </w:rPr>
              <w:t>FRSM/RPE</w:t>
            </w:r>
          </w:p>
        </w:tc>
        <w:tc>
          <w:tcPr>
            <w:tcW w:w="828" w:type="pct"/>
          </w:tcPr>
          <w:p w14:paraId="0DB2576F" w14:textId="77777777" w:rsidR="00DC161C" w:rsidRPr="003D54A1" w:rsidRDefault="00DC161C" w:rsidP="00015F7C">
            <w:pPr>
              <w:pStyle w:val="NormalWeb"/>
              <w:spacing w:before="300" w:beforeAutospacing="0" w:after="300" w:afterAutospacing="0"/>
              <w:cnfStyle w:val="100000000000" w:firstRow="1" w:lastRow="0" w:firstColumn="0" w:lastColumn="0" w:oddVBand="0" w:evenVBand="0" w:oddHBand="0" w:evenHBand="0" w:firstRowFirstColumn="0" w:firstRowLastColumn="0" w:lastRowFirstColumn="0" w:lastRowLastColumn="0"/>
              <w:rPr>
                <w:rFonts w:ascii="Arial" w:hAnsi="Arial" w:cs="Arial"/>
                <w:color w:val="0B0C0C"/>
                <w:sz w:val="22"/>
                <w:szCs w:val="22"/>
              </w:rPr>
            </w:pPr>
            <w:r w:rsidRPr="003D54A1">
              <w:rPr>
                <w:rFonts w:ascii="Arial" w:hAnsi="Arial" w:cs="Arial"/>
                <w:color w:val="0B0C0C"/>
                <w:sz w:val="22"/>
                <w:szCs w:val="22"/>
              </w:rPr>
              <w:t>Eye/face protection (goggle/visor)</w:t>
            </w:r>
          </w:p>
        </w:tc>
      </w:tr>
      <w:tr w:rsidR="00DC161C" w:rsidRPr="003D54A1" w14:paraId="48AF07E0" w14:textId="77777777" w:rsidTr="00B21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pct"/>
          </w:tcPr>
          <w:p w14:paraId="22374B38" w14:textId="77777777" w:rsidR="00DC161C" w:rsidRPr="003D54A1" w:rsidRDefault="00DC161C" w:rsidP="00015F7C">
            <w:pPr>
              <w:pStyle w:val="NormalWeb"/>
              <w:spacing w:before="300" w:beforeAutospacing="0" w:after="300" w:afterAutospacing="0"/>
              <w:rPr>
                <w:rFonts w:ascii="Arial" w:hAnsi="Arial" w:cs="Arial"/>
                <w:color w:val="0B0C0C"/>
                <w:sz w:val="22"/>
                <w:szCs w:val="22"/>
              </w:rPr>
            </w:pPr>
            <w:r w:rsidRPr="003D54A1">
              <w:rPr>
                <w:rFonts w:ascii="Arial" w:hAnsi="Arial" w:cs="Arial"/>
                <w:color w:val="0B0C0C"/>
                <w:sz w:val="22"/>
                <w:szCs w:val="22"/>
              </w:rPr>
              <w:t>Droplet PPE</w:t>
            </w:r>
          </w:p>
        </w:tc>
        <w:tc>
          <w:tcPr>
            <w:tcW w:w="689" w:type="pct"/>
          </w:tcPr>
          <w:p w14:paraId="3E4D5D44" w14:textId="77777777" w:rsidR="00DC161C" w:rsidRPr="003D54A1" w:rsidRDefault="00DC161C" w:rsidP="00015F7C">
            <w:pPr>
              <w:pStyle w:val="NormalWeb"/>
              <w:spacing w:before="300" w:beforeAutospacing="0" w:after="30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B0C0C"/>
                <w:sz w:val="22"/>
                <w:szCs w:val="22"/>
              </w:rPr>
            </w:pPr>
            <w:r w:rsidRPr="003D54A1">
              <w:rPr>
                <w:rFonts w:ascii="Arial" w:hAnsi="Arial" w:cs="Arial"/>
                <w:color w:val="0B0C0C"/>
                <w:sz w:val="22"/>
                <w:szCs w:val="22"/>
              </w:rPr>
              <w:t>Single use</w:t>
            </w:r>
          </w:p>
        </w:tc>
        <w:tc>
          <w:tcPr>
            <w:tcW w:w="1167" w:type="pct"/>
          </w:tcPr>
          <w:p w14:paraId="38FFBCD7" w14:textId="77777777" w:rsidR="00DC161C" w:rsidRPr="003D54A1" w:rsidRDefault="00DC161C" w:rsidP="00015F7C">
            <w:pPr>
              <w:pStyle w:val="NormalWeb"/>
              <w:spacing w:before="300" w:beforeAutospacing="0" w:after="30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B0C0C"/>
                <w:sz w:val="22"/>
                <w:szCs w:val="22"/>
              </w:rPr>
            </w:pPr>
            <w:r w:rsidRPr="003D54A1">
              <w:rPr>
                <w:rFonts w:ascii="Arial" w:hAnsi="Arial" w:cs="Arial"/>
                <w:color w:val="0B0C0C"/>
                <w:sz w:val="22"/>
                <w:szCs w:val="22"/>
                <w:shd w:val="clear" w:color="auto" w:fill="FFFFFF"/>
              </w:rPr>
              <w:t>Single use apron or fluid-resistant gown if risk of extensive spraying/splashing</w:t>
            </w:r>
          </w:p>
        </w:tc>
        <w:tc>
          <w:tcPr>
            <w:tcW w:w="1016" w:type="pct"/>
          </w:tcPr>
          <w:p w14:paraId="45FC545B" w14:textId="77777777" w:rsidR="00DC161C" w:rsidRPr="003D54A1" w:rsidRDefault="00DC161C" w:rsidP="00015F7C">
            <w:pPr>
              <w:pStyle w:val="NormalWeb"/>
              <w:spacing w:before="300" w:beforeAutospacing="0" w:after="30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B0C0C"/>
                <w:sz w:val="22"/>
                <w:szCs w:val="22"/>
              </w:rPr>
            </w:pPr>
            <w:r w:rsidRPr="003D54A1">
              <w:rPr>
                <w:rFonts w:ascii="Arial" w:hAnsi="Arial" w:cs="Arial"/>
                <w:color w:val="0B0C0C"/>
                <w:sz w:val="22"/>
                <w:szCs w:val="22"/>
                <w:shd w:val="clear" w:color="auto" w:fill="FFFFFF"/>
              </w:rPr>
              <w:t>Single use </w:t>
            </w:r>
            <w:r w:rsidRPr="003D54A1">
              <w:rPr>
                <w:rFonts w:ascii="Arial" w:hAnsi="Arial" w:cs="Arial"/>
                <w:sz w:val="22"/>
                <w:szCs w:val="22"/>
              </w:rPr>
              <w:t>FRSM</w:t>
            </w:r>
            <w:r w:rsidRPr="003D54A1">
              <w:rPr>
                <w:rFonts w:ascii="Arial" w:hAnsi="Arial" w:cs="Arial"/>
                <w:color w:val="0B0C0C"/>
                <w:sz w:val="22"/>
                <w:szCs w:val="22"/>
                <w:shd w:val="clear" w:color="auto" w:fill="FFFFFF"/>
              </w:rPr>
              <w:t> Type IIR for direct patient care (1)</w:t>
            </w:r>
          </w:p>
        </w:tc>
        <w:tc>
          <w:tcPr>
            <w:tcW w:w="828" w:type="pct"/>
          </w:tcPr>
          <w:p w14:paraId="7C3CEF23" w14:textId="77777777" w:rsidR="00DC161C" w:rsidRPr="003D54A1" w:rsidRDefault="00DC161C" w:rsidP="00015F7C">
            <w:pPr>
              <w:pStyle w:val="NormalWeb"/>
              <w:spacing w:before="300" w:beforeAutospacing="0" w:after="30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B0C0C"/>
                <w:sz w:val="22"/>
                <w:szCs w:val="22"/>
              </w:rPr>
            </w:pPr>
            <w:r w:rsidRPr="003D54A1">
              <w:rPr>
                <w:rFonts w:ascii="Arial" w:hAnsi="Arial" w:cs="Arial"/>
                <w:color w:val="0B0C0C"/>
                <w:sz w:val="22"/>
                <w:szCs w:val="22"/>
                <w:shd w:val="clear" w:color="auto" w:fill="FFFFFF"/>
              </w:rPr>
              <w:t>Single use or reusable (1)</w:t>
            </w:r>
          </w:p>
        </w:tc>
      </w:tr>
      <w:tr w:rsidR="00892E8D" w:rsidRPr="003D54A1" w14:paraId="721B6667" w14:textId="77777777" w:rsidTr="00B21127">
        <w:tc>
          <w:tcPr>
            <w:cnfStyle w:val="001000000000" w:firstRow="0" w:lastRow="0" w:firstColumn="1" w:lastColumn="0" w:oddVBand="0" w:evenVBand="0" w:oddHBand="0" w:evenHBand="0" w:firstRowFirstColumn="0" w:firstRowLastColumn="0" w:lastRowFirstColumn="0" w:lastRowLastColumn="0"/>
            <w:tcW w:w="1300" w:type="pct"/>
          </w:tcPr>
          <w:p w14:paraId="7DCE0772" w14:textId="77777777" w:rsidR="00DC161C" w:rsidRPr="003D54A1" w:rsidRDefault="00DC161C" w:rsidP="00015F7C">
            <w:pPr>
              <w:pStyle w:val="NormalWeb"/>
              <w:spacing w:before="300" w:beforeAutospacing="0" w:after="300" w:afterAutospacing="0"/>
              <w:rPr>
                <w:rFonts w:ascii="Arial" w:hAnsi="Arial" w:cs="Arial"/>
                <w:color w:val="0B0C0C"/>
                <w:sz w:val="22"/>
                <w:szCs w:val="22"/>
              </w:rPr>
            </w:pPr>
            <w:r w:rsidRPr="003D54A1">
              <w:rPr>
                <w:rFonts w:ascii="Arial" w:hAnsi="Arial" w:cs="Arial"/>
                <w:color w:val="0B0C0C"/>
                <w:sz w:val="22"/>
                <w:szCs w:val="22"/>
                <w:shd w:val="clear" w:color="auto" w:fill="FFFFFF"/>
              </w:rPr>
              <w:t>Airborne </w:t>
            </w:r>
            <w:r w:rsidRPr="003D54A1">
              <w:rPr>
                <w:rFonts w:ascii="Arial" w:hAnsi="Arial" w:cs="Arial"/>
                <w:sz w:val="22"/>
                <w:szCs w:val="22"/>
              </w:rPr>
              <w:t>PPE</w:t>
            </w:r>
            <w:r w:rsidRPr="003D54A1">
              <w:rPr>
                <w:rFonts w:ascii="Arial" w:hAnsi="Arial" w:cs="Arial"/>
                <w:color w:val="0B0C0C"/>
                <w:sz w:val="22"/>
                <w:szCs w:val="22"/>
              </w:rPr>
              <w:br/>
            </w:r>
            <w:r w:rsidRPr="003D54A1">
              <w:rPr>
                <w:rFonts w:ascii="Arial" w:hAnsi="Arial" w:cs="Arial"/>
                <w:color w:val="0B0C0C"/>
                <w:sz w:val="22"/>
                <w:szCs w:val="22"/>
                <w:shd w:val="clear" w:color="auto" w:fill="FFFFFF"/>
              </w:rPr>
              <w:t>(When undertaking or if </w:t>
            </w:r>
            <w:r w:rsidRPr="003D54A1">
              <w:rPr>
                <w:rFonts w:ascii="Arial" w:hAnsi="Arial" w:cs="Arial"/>
                <w:sz w:val="22"/>
                <w:szCs w:val="22"/>
              </w:rPr>
              <w:t>AGPs</w:t>
            </w:r>
            <w:r w:rsidRPr="003D54A1">
              <w:rPr>
                <w:rFonts w:ascii="Arial" w:hAnsi="Arial" w:cs="Arial"/>
                <w:color w:val="0B0C0C"/>
                <w:sz w:val="22"/>
                <w:szCs w:val="22"/>
                <w:shd w:val="clear" w:color="auto" w:fill="FFFFFF"/>
              </w:rPr>
              <w:t> are likely) (3)</w:t>
            </w:r>
            <w:r w:rsidRPr="003D54A1">
              <w:rPr>
                <w:rFonts w:ascii="Arial" w:hAnsi="Arial" w:cs="Arial"/>
                <w:color w:val="0B0C0C"/>
                <w:sz w:val="22"/>
                <w:szCs w:val="22"/>
              </w:rPr>
              <w:br/>
            </w:r>
            <w:r w:rsidRPr="003D54A1">
              <w:rPr>
                <w:rFonts w:ascii="Arial" w:hAnsi="Arial" w:cs="Arial"/>
                <w:color w:val="0B0C0C"/>
                <w:sz w:val="22"/>
                <w:szCs w:val="22"/>
                <w:shd w:val="clear" w:color="auto" w:fill="FFFFFF"/>
              </w:rPr>
              <w:t>Or if an unacceptable risk of transmission remains following application of the hierarchy of controls (4)</w:t>
            </w:r>
          </w:p>
        </w:tc>
        <w:tc>
          <w:tcPr>
            <w:tcW w:w="689" w:type="pct"/>
          </w:tcPr>
          <w:p w14:paraId="64008FE8" w14:textId="77777777" w:rsidR="00DC161C" w:rsidRPr="003D54A1" w:rsidRDefault="00DC161C" w:rsidP="00015F7C">
            <w:pPr>
              <w:pStyle w:val="NormalWeb"/>
              <w:spacing w:before="300" w:beforeAutospacing="0" w:after="30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B0C0C"/>
                <w:sz w:val="22"/>
                <w:szCs w:val="22"/>
              </w:rPr>
            </w:pPr>
            <w:r w:rsidRPr="003D54A1">
              <w:rPr>
                <w:rFonts w:ascii="Arial" w:hAnsi="Arial" w:cs="Arial"/>
                <w:color w:val="0B0C0C"/>
                <w:sz w:val="22"/>
                <w:szCs w:val="22"/>
              </w:rPr>
              <w:t>Single use</w:t>
            </w:r>
          </w:p>
        </w:tc>
        <w:tc>
          <w:tcPr>
            <w:tcW w:w="1167" w:type="pct"/>
          </w:tcPr>
          <w:p w14:paraId="049D9BEA" w14:textId="77777777" w:rsidR="00DC161C" w:rsidRPr="003D54A1" w:rsidRDefault="00DC161C" w:rsidP="00015F7C">
            <w:pPr>
              <w:pStyle w:val="NormalWeb"/>
              <w:spacing w:before="300" w:beforeAutospacing="0" w:after="30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B0C0C"/>
                <w:sz w:val="22"/>
                <w:szCs w:val="22"/>
              </w:rPr>
            </w:pPr>
            <w:r w:rsidRPr="003D54A1">
              <w:rPr>
                <w:rFonts w:ascii="Arial" w:hAnsi="Arial" w:cs="Arial"/>
                <w:color w:val="0B0C0C"/>
                <w:sz w:val="22"/>
                <w:szCs w:val="22"/>
                <w:shd w:val="clear" w:color="auto" w:fill="FFFFFF"/>
              </w:rPr>
              <w:t>Single use fluid-resistant gown</w:t>
            </w:r>
          </w:p>
        </w:tc>
        <w:tc>
          <w:tcPr>
            <w:tcW w:w="1016" w:type="pct"/>
          </w:tcPr>
          <w:p w14:paraId="2D731150" w14:textId="77777777" w:rsidR="00DC161C" w:rsidRPr="003D54A1" w:rsidRDefault="00DC161C" w:rsidP="00015F7C">
            <w:pPr>
              <w:pStyle w:val="NormalWeb"/>
              <w:spacing w:before="300" w:beforeAutospacing="0" w:after="30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B0C0C"/>
                <w:sz w:val="22"/>
                <w:szCs w:val="22"/>
              </w:rPr>
            </w:pPr>
            <w:r w:rsidRPr="003D54A1">
              <w:rPr>
                <w:rFonts w:ascii="Arial" w:hAnsi="Arial" w:cs="Arial"/>
                <w:color w:val="0B0C0C"/>
                <w:sz w:val="22"/>
                <w:szCs w:val="22"/>
                <w:shd w:val="clear" w:color="auto" w:fill="FFFFFF"/>
              </w:rPr>
              <w:t>Single use FFP3 (2) or reusable respirator/powered respirator hood (</w:t>
            </w:r>
            <w:r w:rsidRPr="003D54A1">
              <w:rPr>
                <w:rFonts w:ascii="Arial" w:hAnsi="Arial" w:cs="Arial"/>
                <w:sz w:val="22"/>
                <w:szCs w:val="22"/>
              </w:rPr>
              <w:t>RPE</w:t>
            </w:r>
            <w:r w:rsidRPr="003D54A1">
              <w:rPr>
                <w:rFonts w:ascii="Arial" w:hAnsi="Arial" w:cs="Arial"/>
                <w:color w:val="0B0C0C"/>
                <w:sz w:val="22"/>
                <w:szCs w:val="22"/>
                <w:shd w:val="clear" w:color="auto" w:fill="FFFFFF"/>
              </w:rPr>
              <w:t>)</w:t>
            </w:r>
          </w:p>
        </w:tc>
        <w:tc>
          <w:tcPr>
            <w:tcW w:w="828" w:type="pct"/>
          </w:tcPr>
          <w:p w14:paraId="326BF178" w14:textId="77777777" w:rsidR="00DC161C" w:rsidRPr="003D54A1" w:rsidRDefault="00DC161C" w:rsidP="00015F7C">
            <w:pPr>
              <w:pStyle w:val="NormalWeb"/>
              <w:spacing w:before="300" w:beforeAutospacing="0" w:after="30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B0C0C"/>
                <w:sz w:val="22"/>
                <w:szCs w:val="22"/>
              </w:rPr>
            </w:pPr>
            <w:r w:rsidRPr="003D54A1">
              <w:rPr>
                <w:rFonts w:ascii="Arial" w:hAnsi="Arial" w:cs="Arial"/>
                <w:color w:val="0B0C0C"/>
                <w:sz w:val="22"/>
                <w:szCs w:val="22"/>
                <w:shd w:val="clear" w:color="auto" w:fill="FFFFFF"/>
              </w:rPr>
              <w:t>Single use or reusable (2)</w:t>
            </w:r>
          </w:p>
        </w:tc>
      </w:tr>
    </w:tbl>
    <w:p w14:paraId="20346725" w14:textId="77777777" w:rsidR="00DC161C" w:rsidRPr="003D54A1" w:rsidRDefault="00DC161C" w:rsidP="00DC161C">
      <w:pPr>
        <w:pStyle w:val="NormalWeb"/>
        <w:shd w:val="clear" w:color="auto" w:fill="FFFFFF"/>
        <w:tabs>
          <w:tab w:val="left" w:pos="6773"/>
        </w:tabs>
        <w:spacing w:before="300" w:beforeAutospacing="0" w:after="300" w:afterAutospacing="0"/>
        <w:rPr>
          <w:rFonts w:asciiTheme="minorHAnsi" w:hAnsiTheme="minorHAnsi" w:cstheme="minorHAnsi"/>
          <w:color w:val="0B0C0C"/>
          <w:sz w:val="22"/>
          <w:szCs w:val="22"/>
        </w:rPr>
      </w:pPr>
      <w:r w:rsidRPr="003D54A1">
        <w:rPr>
          <w:rFonts w:asciiTheme="minorHAnsi" w:hAnsiTheme="minorHAnsi" w:cstheme="minorHAnsi"/>
          <w:color w:val="0B0C0C"/>
          <w:sz w:val="22"/>
          <w:szCs w:val="22"/>
        </w:rPr>
        <w:tab/>
      </w:r>
    </w:p>
    <w:p w14:paraId="1565B54F" w14:textId="1C3C3E44" w:rsidR="00DC161C" w:rsidRPr="003D54A1" w:rsidRDefault="00DC161C" w:rsidP="00DC161C">
      <w:pPr>
        <w:shd w:val="clear" w:color="auto" w:fill="FFFFFF"/>
        <w:spacing w:before="300" w:after="300" w:line="240" w:lineRule="auto"/>
        <w:rPr>
          <w:rFonts w:eastAsia="Times New Roman" w:cs="Arial"/>
          <w:color w:val="0B0C0C"/>
          <w:sz w:val="22"/>
          <w:lang w:eastAsia="en-GB"/>
        </w:rPr>
      </w:pPr>
      <w:r w:rsidRPr="003D54A1">
        <w:rPr>
          <w:rFonts w:eastAsia="Times New Roman" w:cs="Arial"/>
          <w:color w:val="0B0C0C"/>
          <w:sz w:val="22"/>
          <w:lang w:eastAsia="en-GB"/>
        </w:rPr>
        <w:lastRenderedPageBreak/>
        <w:t>(1) </w:t>
      </w:r>
      <w:r w:rsidR="00136572">
        <w:rPr>
          <w:rFonts w:eastAsia="Times New Roman" w:cs="Arial"/>
          <w:color w:val="0B0C0C"/>
          <w:sz w:val="22"/>
          <w:lang w:eastAsia="en-GB"/>
        </w:rPr>
        <w:t>*</w:t>
      </w:r>
      <w:r w:rsidRPr="003D54A1">
        <w:rPr>
          <w:rFonts w:eastAsia="Times New Roman" w:cs="Arial"/>
          <w:color w:val="0B0C0C"/>
          <w:sz w:val="22"/>
          <w:lang w:eastAsia="en-GB"/>
        </w:rPr>
        <w:t>FRSM can be worn sessionally (includes eye/face protection) if providing care for cohorted patients. All other items of PPE (gloves/gown) must be changed between patients and/or after completing a procedure or task.</w:t>
      </w:r>
    </w:p>
    <w:p w14:paraId="79E95A62" w14:textId="2ABFFB5D" w:rsidR="00DC161C" w:rsidRPr="003D54A1" w:rsidRDefault="00DC161C" w:rsidP="00DC161C">
      <w:pPr>
        <w:shd w:val="clear" w:color="auto" w:fill="FFFFFF"/>
        <w:spacing w:before="300" w:after="300" w:line="240" w:lineRule="auto"/>
        <w:rPr>
          <w:rFonts w:eastAsia="Times New Roman" w:cs="Arial"/>
          <w:color w:val="0B0C0C"/>
          <w:sz w:val="22"/>
          <w:lang w:eastAsia="en-GB"/>
        </w:rPr>
      </w:pPr>
      <w:r w:rsidRPr="003D54A1">
        <w:rPr>
          <w:rFonts w:eastAsia="Times New Roman" w:cs="Arial"/>
          <w:color w:val="0B0C0C"/>
          <w:sz w:val="22"/>
          <w:lang w:eastAsia="en-GB"/>
        </w:rPr>
        <w:t xml:space="preserve">(2) RPE can be worn sessionally (includes eye/face protection) in </w:t>
      </w:r>
      <w:r w:rsidR="00206C50" w:rsidRPr="003D54A1">
        <w:rPr>
          <w:rFonts w:eastAsia="Times New Roman" w:cs="Arial"/>
          <w:color w:val="0B0C0C"/>
          <w:sz w:val="22"/>
          <w:lang w:eastAsia="en-GB"/>
        </w:rPr>
        <w:t>high-risk</w:t>
      </w:r>
      <w:r w:rsidRPr="003D54A1">
        <w:rPr>
          <w:rFonts w:eastAsia="Times New Roman" w:cs="Arial"/>
          <w:color w:val="0B0C0C"/>
          <w:sz w:val="22"/>
          <w:lang w:eastAsia="en-GB"/>
        </w:rPr>
        <w:t xml:space="preserve"> areas where AGPs are undertaken for cohorted patients (see footnote 4). All other items of PPE (gloves/gown) must be changed between patients and/or after completing a procedure or task.</w:t>
      </w:r>
    </w:p>
    <w:p w14:paraId="083D54C5" w14:textId="77777777" w:rsidR="00DC161C" w:rsidRPr="003D54A1" w:rsidRDefault="00DC161C" w:rsidP="00DC161C">
      <w:pPr>
        <w:shd w:val="clear" w:color="auto" w:fill="FFFFFF"/>
        <w:spacing w:before="300" w:after="300" w:line="240" w:lineRule="auto"/>
        <w:rPr>
          <w:rFonts w:eastAsia="Times New Roman" w:cs="Arial"/>
          <w:color w:val="0B0C0C"/>
          <w:sz w:val="22"/>
          <w:lang w:eastAsia="en-GB"/>
        </w:rPr>
      </w:pPr>
      <w:r w:rsidRPr="003D54A1">
        <w:rPr>
          <w:rFonts w:eastAsia="Times New Roman" w:cs="Arial"/>
          <w:color w:val="0B0C0C"/>
          <w:sz w:val="22"/>
          <w:lang w:eastAsia="en-GB"/>
        </w:rPr>
        <w:t>(3) Consideration may need to be given to the application of airborne precautions where the number of cases of respiratory infections requiring AGPs increases and patients cannot be managed in single or isolation rooms.</w:t>
      </w:r>
    </w:p>
    <w:p w14:paraId="33E9C416" w14:textId="66C0EDDD" w:rsidR="00462D3E" w:rsidRDefault="00DC161C" w:rsidP="008C675E">
      <w:pPr>
        <w:shd w:val="clear" w:color="auto" w:fill="FFFFFF"/>
        <w:spacing w:before="300" w:after="300" w:line="240" w:lineRule="auto"/>
        <w:rPr>
          <w:rFonts w:eastAsia="Times New Roman" w:cs="Arial"/>
          <w:color w:val="0B0C0C"/>
          <w:sz w:val="22"/>
          <w:lang w:eastAsia="en-GB"/>
        </w:rPr>
      </w:pPr>
      <w:r w:rsidRPr="003D54A1">
        <w:rPr>
          <w:rFonts w:eastAsia="Times New Roman" w:cs="Arial"/>
          <w:color w:val="0B0C0C"/>
          <w:sz w:val="22"/>
          <w:lang w:eastAsia="en-GB"/>
        </w:rPr>
        <w:t>(4) Where a risk assessment indicates it, RPE should be available to all relevant staff. The risk assessment should include evaluation of the ventilation in the area, operational capacity, and prevalence of infection/new SARS-CoV-2 variants of concern in the local area. The hierarchy of controls can be used to inform the risk assessment. Staff should be provided with training on correct use.</w:t>
      </w:r>
    </w:p>
    <w:p w14:paraId="27297BAF" w14:textId="77777777" w:rsidR="00136572" w:rsidRPr="003D54A1" w:rsidRDefault="00136572" w:rsidP="008C675E">
      <w:pPr>
        <w:shd w:val="clear" w:color="auto" w:fill="FFFFFF"/>
        <w:spacing w:before="300" w:after="300" w:line="240" w:lineRule="auto"/>
        <w:rPr>
          <w:rFonts w:eastAsia="Times New Roman" w:cs="Arial"/>
          <w:color w:val="0B0C0C"/>
          <w:lang w:eastAsia="en-GB"/>
        </w:rPr>
        <w:sectPr w:rsidR="00136572" w:rsidRPr="003D54A1" w:rsidSect="00DC161C">
          <w:pgSz w:w="16838" w:h="11906" w:orient="landscape"/>
          <w:pgMar w:top="1440" w:right="1440" w:bottom="1440" w:left="1440" w:header="708" w:footer="708" w:gutter="0"/>
          <w:cols w:space="708"/>
          <w:docGrid w:linePitch="360"/>
        </w:sectPr>
      </w:pPr>
    </w:p>
    <w:p w14:paraId="2A145483" w14:textId="77777777" w:rsidR="00203485" w:rsidRPr="009E4A53" w:rsidRDefault="00203485" w:rsidP="009E4A53">
      <w:pPr>
        <w:pStyle w:val="TOCheading2"/>
        <w:numPr>
          <w:ilvl w:val="0"/>
          <w:numId w:val="0"/>
        </w:numPr>
        <w:ind w:left="644" w:hanging="360"/>
        <w:rPr>
          <w:shd w:val="clear" w:color="auto" w:fill="FFFFFF"/>
          <w:lang w:val="en-GB"/>
        </w:rPr>
      </w:pPr>
      <w:bookmarkStart w:id="32" w:name="_Toc124166206"/>
      <w:r w:rsidRPr="003D54A1">
        <w:rPr>
          <w:shd w:val="clear" w:color="auto" w:fill="FFFFFF"/>
          <w:lang w:val="en-GB"/>
        </w:rPr>
        <w:lastRenderedPageBreak/>
        <w:t>Appendix 2</w:t>
      </w:r>
      <w:r w:rsidR="009E4A53">
        <w:rPr>
          <w:shd w:val="clear" w:color="auto" w:fill="FFFFFF"/>
          <w:lang w:val="en-GB"/>
        </w:rPr>
        <w:t>:</w:t>
      </w:r>
      <w:r w:rsidRPr="003D54A1">
        <w:rPr>
          <w:shd w:val="clear" w:color="auto" w:fill="FFFFFF"/>
          <w:lang w:val="en-GB"/>
        </w:rPr>
        <w:t xml:space="preserve"> Aerosol generating </w:t>
      </w:r>
      <w:proofErr w:type="gramStart"/>
      <w:r w:rsidRPr="003D54A1">
        <w:rPr>
          <w:shd w:val="clear" w:color="auto" w:fill="FFFFFF"/>
          <w:lang w:val="en-GB"/>
        </w:rPr>
        <w:t>procedures</w:t>
      </w:r>
      <w:bookmarkEnd w:id="32"/>
      <w:proofErr w:type="gramEnd"/>
      <w:r w:rsidRPr="009E4A53">
        <w:rPr>
          <w:shd w:val="clear" w:color="auto" w:fill="FFFFFF"/>
          <w:lang w:val="en-GB"/>
        </w:rPr>
        <w:t xml:space="preserve"> </w:t>
      </w:r>
    </w:p>
    <w:p w14:paraId="68FAFB3B" w14:textId="77777777" w:rsidR="00203485" w:rsidRPr="003D54A1" w:rsidRDefault="00203485">
      <w:r w:rsidRPr="003D54A1">
        <w:t xml:space="preserve">Aerosol generating procedures (AGPs) are medical procedures that can result in the release of aerosols from the respiratory tract. The criteria for an AGP are a high risk of aerosol generation and increased risk of transmission (from patients with a known or suspected respiratory infection). </w:t>
      </w:r>
    </w:p>
    <w:p w14:paraId="7F84F7DF" w14:textId="77777777" w:rsidR="00203485" w:rsidRPr="003D54A1" w:rsidRDefault="00203485">
      <w:r w:rsidRPr="003D54A1">
        <w:t xml:space="preserve">The list of medical procedures that are considered to be aerosol generating and associated with an increased risk of respiratory transmission is: </w:t>
      </w:r>
    </w:p>
    <w:p w14:paraId="2B26265E" w14:textId="77777777" w:rsidR="00203485" w:rsidRPr="003D54A1" w:rsidRDefault="00203485" w:rsidP="009E4A53">
      <w:pPr>
        <w:pStyle w:val="ListParagraph"/>
        <w:numPr>
          <w:ilvl w:val="1"/>
          <w:numId w:val="7"/>
        </w:numPr>
      </w:pPr>
      <w:r w:rsidRPr="003D54A1">
        <w:t xml:space="preserve">awake* bronchoscopy (including awake tracheal intubation) </w:t>
      </w:r>
    </w:p>
    <w:p w14:paraId="719A9D77" w14:textId="77777777" w:rsidR="00203485" w:rsidRPr="003D54A1" w:rsidRDefault="00203485" w:rsidP="009E4A53">
      <w:pPr>
        <w:pStyle w:val="ListParagraph"/>
        <w:numPr>
          <w:ilvl w:val="1"/>
          <w:numId w:val="7"/>
        </w:numPr>
      </w:pPr>
      <w:r w:rsidRPr="003D54A1">
        <w:t xml:space="preserve">awake* ear, nose, and throat (ENT) airway procedures that involve respiratory </w:t>
      </w:r>
      <w:proofErr w:type="gramStart"/>
      <w:r w:rsidRPr="003D54A1">
        <w:t>suctioning</w:t>
      </w:r>
      <w:proofErr w:type="gramEnd"/>
      <w:r w:rsidRPr="003D54A1">
        <w:t xml:space="preserve"> </w:t>
      </w:r>
    </w:p>
    <w:p w14:paraId="5397DCB5" w14:textId="77777777" w:rsidR="00203485" w:rsidRPr="003D54A1" w:rsidRDefault="00203485" w:rsidP="009E4A53">
      <w:pPr>
        <w:pStyle w:val="ListParagraph"/>
        <w:numPr>
          <w:ilvl w:val="1"/>
          <w:numId w:val="7"/>
        </w:numPr>
      </w:pPr>
      <w:r w:rsidRPr="003D54A1">
        <w:t xml:space="preserve">awake* upper gastro-intestinal </w:t>
      </w:r>
      <w:proofErr w:type="gramStart"/>
      <w:r w:rsidRPr="003D54A1">
        <w:t>endoscopy</w:t>
      </w:r>
      <w:proofErr w:type="gramEnd"/>
      <w:r w:rsidRPr="003D54A1">
        <w:t xml:space="preserve"> </w:t>
      </w:r>
    </w:p>
    <w:p w14:paraId="03FAFCF9" w14:textId="77777777" w:rsidR="00203485" w:rsidRPr="003D54A1" w:rsidRDefault="00203485" w:rsidP="009E4A53">
      <w:pPr>
        <w:pStyle w:val="ListParagraph"/>
        <w:numPr>
          <w:ilvl w:val="1"/>
          <w:numId w:val="7"/>
        </w:numPr>
      </w:pPr>
      <w:r w:rsidRPr="003D54A1">
        <w:t xml:space="preserve">dental procedures (using high speed or high frequency devices, for example ultrasonic scalers/high speed drills) </w:t>
      </w:r>
    </w:p>
    <w:p w14:paraId="4EC7A18A" w14:textId="77777777" w:rsidR="00203485" w:rsidRPr="003D54A1" w:rsidRDefault="00203485" w:rsidP="009E4A53">
      <w:pPr>
        <w:pStyle w:val="ListParagraph"/>
        <w:numPr>
          <w:ilvl w:val="1"/>
          <w:numId w:val="7"/>
        </w:numPr>
      </w:pPr>
      <w:r w:rsidRPr="003D54A1">
        <w:t xml:space="preserve">induction of sputum </w:t>
      </w:r>
    </w:p>
    <w:p w14:paraId="5B8D171A" w14:textId="77777777" w:rsidR="00203485" w:rsidRPr="003D54A1" w:rsidRDefault="00203485" w:rsidP="009E4A53">
      <w:pPr>
        <w:pStyle w:val="ListParagraph"/>
        <w:numPr>
          <w:ilvl w:val="1"/>
          <w:numId w:val="7"/>
        </w:numPr>
      </w:pPr>
      <w:r w:rsidRPr="003D54A1">
        <w:t xml:space="preserve">respiratory tract suctioning** </w:t>
      </w:r>
    </w:p>
    <w:p w14:paraId="4EBC36D5" w14:textId="7CAA675C" w:rsidR="00203485" w:rsidRPr="003D54A1" w:rsidRDefault="00203485" w:rsidP="009E4A53">
      <w:pPr>
        <w:pStyle w:val="ListParagraph"/>
        <w:numPr>
          <w:ilvl w:val="1"/>
          <w:numId w:val="7"/>
        </w:numPr>
      </w:pPr>
      <w:r w:rsidRPr="003D54A1">
        <w:t xml:space="preserve">surgery or post-mortem procedures (like </w:t>
      </w:r>
      <w:r w:rsidR="00206C50" w:rsidRPr="003D54A1">
        <w:t>high-speed</w:t>
      </w:r>
      <w:r w:rsidRPr="003D54A1">
        <w:t xml:space="preserve"> cutting / drilling) likely to produce aerosol from the respiratory tract (upper or lower) or sinuses. </w:t>
      </w:r>
    </w:p>
    <w:p w14:paraId="259062EC" w14:textId="77777777" w:rsidR="00203485" w:rsidRPr="003D54A1" w:rsidRDefault="00203485" w:rsidP="009E4A53">
      <w:pPr>
        <w:pStyle w:val="ListParagraph"/>
        <w:numPr>
          <w:ilvl w:val="1"/>
          <w:numId w:val="7"/>
        </w:numPr>
      </w:pPr>
      <w:r w:rsidRPr="003D54A1">
        <w:t xml:space="preserve">tracheostomy procedures (insertion or removal). </w:t>
      </w:r>
    </w:p>
    <w:p w14:paraId="2F2FAD89" w14:textId="77777777" w:rsidR="00203485" w:rsidRPr="003D54A1" w:rsidRDefault="00203485" w:rsidP="00203485">
      <w:pPr>
        <w:pStyle w:val="ListParagraph"/>
        <w:ind w:left="1440"/>
      </w:pPr>
    </w:p>
    <w:p w14:paraId="53212447" w14:textId="77777777" w:rsidR="00203485" w:rsidRPr="003D54A1" w:rsidRDefault="00203485" w:rsidP="00203485">
      <w:r w:rsidRPr="003D54A1">
        <w:t xml:space="preserve">*Awake including ‘conscious’ sedation (excluding anaesthetised patients with secured airway) </w:t>
      </w:r>
    </w:p>
    <w:p w14:paraId="3979AAE2" w14:textId="1D66B4E5" w:rsidR="009E4A53" w:rsidRDefault="00203485" w:rsidP="00203485">
      <w:r w:rsidRPr="003D54A1">
        <w:t xml:space="preserve">** The available evidence relating to respiratory tract suctioning is associated with ventilation. In line with a precautionary approach, open suctioning of the respiratory tract regardless of association with ventilation has been incorporated into the current (COVID-19) AGP list. It is the consensus view of the UK IPC cell that only open suctioning beyond the oro-pharynx is currently considered an </w:t>
      </w:r>
      <w:r w:rsidR="0054035C" w:rsidRPr="003D54A1">
        <w:t>AGP, which</w:t>
      </w:r>
      <w:r w:rsidRPr="003D54A1">
        <w:t xml:space="preserve"> </w:t>
      </w:r>
      <w:r w:rsidR="0054035C">
        <w:t xml:space="preserve">means that </w:t>
      </w:r>
      <w:r w:rsidRPr="003D54A1">
        <w:t xml:space="preserve">oral/pharyngeal suctioning is </w:t>
      </w:r>
      <w:r w:rsidR="0054035C" w:rsidRPr="0054035C">
        <w:rPr>
          <w:b/>
        </w:rPr>
        <w:t>NOT</w:t>
      </w:r>
      <w:r w:rsidRPr="003D54A1">
        <w:t xml:space="preserve"> an AGP.</w:t>
      </w:r>
    </w:p>
    <w:p w14:paraId="0B9D79F2" w14:textId="77777777" w:rsidR="009E4A53" w:rsidRPr="009E4A53" w:rsidRDefault="009E4A53" w:rsidP="009E4A53"/>
    <w:p w14:paraId="335BE439" w14:textId="77777777" w:rsidR="009E4A53" w:rsidRPr="009E4A53" w:rsidRDefault="009E4A53" w:rsidP="009E4A53"/>
    <w:p w14:paraId="674F3818" w14:textId="77777777" w:rsidR="009E4A53" w:rsidRPr="009E4A53" w:rsidRDefault="009E4A53" w:rsidP="009E4A53"/>
    <w:p w14:paraId="6527E54E" w14:textId="77777777" w:rsidR="009E4A53" w:rsidRDefault="009E4A53" w:rsidP="009E4A53"/>
    <w:p w14:paraId="4694D374" w14:textId="77777777" w:rsidR="000A1942" w:rsidRPr="009E4A53" w:rsidRDefault="009E4A53" w:rsidP="009E4A53">
      <w:pPr>
        <w:tabs>
          <w:tab w:val="left" w:pos="4019"/>
        </w:tabs>
      </w:pPr>
      <w:r>
        <w:tab/>
      </w:r>
    </w:p>
    <w:sectPr w:rsidR="000A1942" w:rsidRPr="009E4A53" w:rsidSect="00462D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055C" w14:textId="77777777" w:rsidR="00436532" w:rsidRDefault="00436532" w:rsidP="00B155A6">
      <w:pPr>
        <w:spacing w:after="0" w:line="240" w:lineRule="auto"/>
      </w:pPr>
      <w:r>
        <w:separator/>
      </w:r>
    </w:p>
  </w:endnote>
  <w:endnote w:type="continuationSeparator" w:id="0">
    <w:p w14:paraId="23FFB460" w14:textId="77777777" w:rsidR="00436532" w:rsidRDefault="00436532" w:rsidP="00B155A6">
      <w:pPr>
        <w:spacing w:after="0" w:line="240" w:lineRule="auto"/>
      </w:pPr>
      <w:r>
        <w:continuationSeparator/>
      </w:r>
    </w:p>
  </w:endnote>
  <w:endnote w:type="continuationNotice" w:id="1">
    <w:p w14:paraId="52B50B28" w14:textId="77777777" w:rsidR="00436532" w:rsidRDefault="004365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885288"/>
      <w:docPartObj>
        <w:docPartGallery w:val="Page Numbers (Bottom of Page)"/>
        <w:docPartUnique/>
      </w:docPartObj>
    </w:sdtPr>
    <w:sdtEndPr/>
    <w:sdtContent>
      <w:p w14:paraId="06706F8E" w14:textId="4223769B" w:rsidR="000F661D" w:rsidRDefault="000F661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1878386" w14:textId="6B9C7809" w:rsidR="00076463" w:rsidRDefault="00076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854360"/>
      <w:docPartObj>
        <w:docPartGallery w:val="Page Numbers (Bottom of Page)"/>
        <w:docPartUnique/>
      </w:docPartObj>
    </w:sdtPr>
    <w:sdtEndPr>
      <w:rPr>
        <w:noProof/>
      </w:rPr>
    </w:sdtEndPr>
    <w:sdtContent>
      <w:p w14:paraId="1F09E4A7" w14:textId="0A2CA2E0" w:rsidR="000F661D" w:rsidRDefault="000F66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D7EF6D" w14:textId="0E599DDD" w:rsidR="00076463" w:rsidRPr="00076463" w:rsidRDefault="00076463" w:rsidP="00076463">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E082" w14:textId="77777777" w:rsidR="00436532" w:rsidRDefault="00436532" w:rsidP="00B155A6">
      <w:pPr>
        <w:spacing w:after="0" w:line="240" w:lineRule="auto"/>
      </w:pPr>
      <w:r>
        <w:separator/>
      </w:r>
    </w:p>
  </w:footnote>
  <w:footnote w:type="continuationSeparator" w:id="0">
    <w:p w14:paraId="545135CC" w14:textId="77777777" w:rsidR="00436532" w:rsidRDefault="00436532" w:rsidP="00B155A6">
      <w:pPr>
        <w:spacing w:after="0" w:line="240" w:lineRule="auto"/>
      </w:pPr>
      <w:r>
        <w:continuationSeparator/>
      </w:r>
    </w:p>
  </w:footnote>
  <w:footnote w:type="continuationNotice" w:id="1">
    <w:p w14:paraId="1ECB174E" w14:textId="77777777" w:rsidR="00436532" w:rsidRDefault="004365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FE4"/>
    <w:multiLevelType w:val="hybridMultilevel"/>
    <w:tmpl w:val="0A5A9AD6"/>
    <w:lvl w:ilvl="0" w:tplc="08090001">
      <w:start w:val="1"/>
      <w:numFmt w:val="bullet"/>
      <w:lvlText w:val=""/>
      <w:lvlJc w:val="left"/>
      <w:pPr>
        <w:ind w:left="720" w:hanging="360"/>
      </w:pPr>
      <w:rPr>
        <w:rFonts w:ascii="Symbol" w:hAnsi="Symbol" w:hint="default"/>
      </w:rPr>
    </w:lvl>
    <w:lvl w:ilvl="1" w:tplc="33D6204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56383"/>
    <w:multiLevelType w:val="hybridMultilevel"/>
    <w:tmpl w:val="B15C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47836"/>
    <w:multiLevelType w:val="hybridMultilevel"/>
    <w:tmpl w:val="2820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2160F"/>
    <w:multiLevelType w:val="multilevel"/>
    <w:tmpl w:val="D2743094"/>
    <w:lvl w:ilvl="0">
      <w:start w:val="1"/>
      <w:numFmt w:val="decimal"/>
      <w:pStyle w:val="TO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OCheading3"/>
      <w:lvlText w:val="%1.%2."/>
      <w:lvlJc w:val="left"/>
      <w:pPr>
        <w:ind w:left="574" w:hanging="432"/>
      </w:pPr>
      <w:rPr>
        <w:rFonts w:hint="default"/>
      </w:rPr>
    </w:lvl>
    <w:lvl w:ilvl="2">
      <w:start w:val="1"/>
      <w:numFmt w:val="decimal"/>
      <w:pStyle w:val="TOCheading4"/>
      <w:lvlText w:val="%1.%2.%3."/>
      <w:lvlJc w:val="left"/>
      <w:pPr>
        <w:ind w:left="646" w:hanging="504"/>
      </w:pPr>
      <w:rPr>
        <w:rFonts w:hint="default"/>
        <w:color w:val="2F5496" w:themeColor="accent1"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FE3A44"/>
    <w:multiLevelType w:val="hybridMultilevel"/>
    <w:tmpl w:val="0D38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10E5D"/>
    <w:multiLevelType w:val="hybridMultilevel"/>
    <w:tmpl w:val="6B228B10"/>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6" w15:restartNumberingAfterBreak="0">
    <w:nsid w:val="48D54AE6"/>
    <w:multiLevelType w:val="hybridMultilevel"/>
    <w:tmpl w:val="4A8A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D5015"/>
    <w:multiLevelType w:val="hybridMultilevel"/>
    <w:tmpl w:val="DF6EFBD6"/>
    <w:lvl w:ilvl="0" w:tplc="CC380EBE">
      <w:start w:val="1"/>
      <w:numFmt w:val="bullet"/>
      <w:lvlText w:val="•"/>
      <w:lvlJc w:val="left"/>
      <w:pPr>
        <w:tabs>
          <w:tab w:val="num" w:pos="720"/>
        </w:tabs>
        <w:ind w:left="720" w:hanging="360"/>
      </w:pPr>
      <w:rPr>
        <w:rFonts w:ascii="Arial" w:hAnsi="Arial" w:hint="default"/>
      </w:rPr>
    </w:lvl>
    <w:lvl w:ilvl="1" w:tplc="FAD2F012">
      <w:numFmt w:val="bullet"/>
      <w:lvlText w:val="•"/>
      <w:lvlJc w:val="left"/>
      <w:pPr>
        <w:tabs>
          <w:tab w:val="num" w:pos="1440"/>
        </w:tabs>
        <w:ind w:left="1440" w:hanging="360"/>
      </w:pPr>
      <w:rPr>
        <w:rFonts w:ascii="Arial" w:hAnsi="Arial" w:hint="default"/>
      </w:rPr>
    </w:lvl>
    <w:lvl w:ilvl="2" w:tplc="7570ECEA" w:tentative="1">
      <w:start w:val="1"/>
      <w:numFmt w:val="bullet"/>
      <w:lvlText w:val="•"/>
      <w:lvlJc w:val="left"/>
      <w:pPr>
        <w:tabs>
          <w:tab w:val="num" w:pos="2160"/>
        </w:tabs>
        <w:ind w:left="2160" w:hanging="360"/>
      </w:pPr>
      <w:rPr>
        <w:rFonts w:ascii="Arial" w:hAnsi="Arial" w:hint="default"/>
      </w:rPr>
    </w:lvl>
    <w:lvl w:ilvl="3" w:tplc="65C22E98" w:tentative="1">
      <w:start w:val="1"/>
      <w:numFmt w:val="bullet"/>
      <w:lvlText w:val="•"/>
      <w:lvlJc w:val="left"/>
      <w:pPr>
        <w:tabs>
          <w:tab w:val="num" w:pos="2880"/>
        </w:tabs>
        <w:ind w:left="2880" w:hanging="360"/>
      </w:pPr>
      <w:rPr>
        <w:rFonts w:ascii="Arial" w:hAnsi="Arial" w:hint="default"/>
      </w:rPr>
    </w:lvl>
    <w:lvl w:ilvl="4" w:tplc="F8941182" w:tentative="1">
      <w:start w:val="1"/>
      <w:numFmt w:val="bullet"/>
      <w:lvlText w:val="•"/>
      <w:lvlJc w:val="left"/>
      <w:pPr>
        <w:tabs>
          <w:tab w:val="num" w:pos="3600"/>
        </w:tabs>
        <w:ind w:left="3600" w:hanging="360"/>
      </w:pPr>
      <w:rPr>
        <w:rFonts w:ascii="Arial" w:hAnsi="Arial" w:hint="default"/>
      </w:rPr>
    </w:lvl>
    <w:lvl w:ilvl="5" w:tplc="FEC8E198" w:tentative="1">
      <w:start w:val="1"/>
      <w:numFmt w:val="bullet"/>
      <w:lvlText w:val="•"/>
      <w:lvlJc w:val="left"/>
      <w:pPr>
        <w:tabs>
          <w:tab w:val="num" w:pos="4320"/>
        </w:tabs>
        <w:ind w:left="4320" w:hanging="360"/>
      </w:pPr>
      <w:rPr>
        <w:rFonts w:ascii="Arial" w:hAnsi="Arial" w:hint="default"/>
      </w:rPr>
    </w:lvl>
    <w:lvl w:ilvl="6" w:tplc="1102BEF0" w:tentative="1">
      <w:start w:val="1"/>
      <w:numFmt w:val="bullet"/>
      <w:lvlText w:val="•"/>
      <w:lvlJc w:val="left"/>
      <w:pPr>
        <w:tabs>
          <w:tab w:val="num" w:pos="5040"/>
        </w:tabs>
        <w:ind w:left="5040" w:hanging="360"/>
      </w:pPr>
      <w:rPr>
        <w:rFonts w:ascii="Arial" w:hAnsi="Arial" w:hint="default"/>
      </w:rPr>
    </w:lvl>
    <w:lvl w:ilvl="7" w:tplc="89EA3950" w:tentative="1">
      <w:start w:val="1"/>
      <w:numFmt w:val="bullet"/>
      <w:lvlText w:val="•"/>
      <w:lvlJc w:val="left"/>
      <w:pPr>
        <w:tabs>
          <w:tab w:val="num" w:pos="5760"/>
        </w:tabs>
        <w:ind w:left="5760" w:hanging="360"/>
      </w:pPr>
      <w:rPr>
        <w:rFonts w:ascii="Arial" w:hAnsi="Arial" w:hint="default"/>
      </w:rPr>
    </w:lvl>
    <w:lvl w:ilvl="8" w:tplc="05B2BA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A52324D"/>
    <w:multiLevelType w:val="hybridMultilevel"/>
    <w:tmpl w:val="DCB23D14"/>
    <w:lvl w:ilvl="0" w:tplc="08090001">
      <w:start w:val="1"/>
      <w:numFmt w:val="bullet"/>
      <w:lvlText w:val=""/>
      <w:lvlJc w:val="left"/>
      <w:pPr>
        <w:ind w:left="720" w:hanging="360"/>
      </w:pPr>
      <w:rPr>
        <w:rFonts w:ascii="Symbol" w:hAnsi="Symbol" w:hint="default"/>
      </w:rPr>
    </w:lvl>
    <w:lvl w:ilvl="1" w:tplc="B892559C">
      <w:start w:val="1"/>
      <w:numFmt w:val="bullet"/>
      <w:lvlText w:val=""/>
      <w:lvlJc w:val="left"/>
      <w:pPr>
        <w:ind w:left="1440" w:hanging="360"/>
      </w:pPr>
      <w:rPr>
        <w:rFonts w:ascii="Symbol" w:hAnsi="Symbol" w:hint="default"/>
        <w:color w:val="0070C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B5623"/>
    <w:multiLevelType w:val="hybridMultilevel"/>
    <w:tmpl w:val="9B127E2A"/>
    <w:lvl w:ilvl="0" w:tplc="B6A8C80C">
      <w:start w:val="1"/>
      <w:numFmt w:val="bullet"/>
      <w:lvlText w:val="•"/>
      <w:lvlJc w:val="left"/>
      <w:pPr>
        <w:tabs>
          <w:tab w:val="num" w:pos="720"/>
        </w:tabs>
        <w:ind w:left="720" w:hanging="360"/>
      </w:pPr>
      <w:rPr>
        <w:rFonts w:ascii="Arial" w:hAnsi="Arial" w:hint="default"/>
      </w:rPr>
    </w:lvl>
    <w:lvl w:ilvl="1" w:tplc="F6466B82">
      <w:numFmt w:val="bullet"/>
      <w:lvlText w:val="•"/>
      <w:lvlJc w:val="left"/>
      <w:pPr>
        <w:tabs>
          <w:tab w:val="num" w:pos="1440"/>
        </w:tabs>
        <w:ind w:left="1440" w:hanging="360"/>
      </w:pPr>
      <w:rPr>
        <w:rFonts w:ascii="Arial" w:hAnsi="Arial" w:hint="default"/>
      </w:rPr>
    </w:lvl>
    <w:lvl w:ilvl="2" w:tplc="CC2E7846" w:tentative="1">
      <w:start w:val="1"/>
      <w:numFmt w:val="bullet"/>
      <w:lvlText w:val="•"/>
      <w:lvlJc w:val="left"/>
      <w:pPr>
        <w:tabs>
          <w:tab w:val="num" w:pos="2160"/>
        </w:tabs>
        <w:ind w:left="2160" w:hanging="360"/>
      </w:pPr>
      <w:rPr>
        <w:rFonts w:ascii="Arial" w:hAnsi="Arial" w:hint="default"/>
      </w:rPr>
    </w:lvl>
    <w:lvl w:ilvl="3" w:tplc="AE80DF64" w:tentative="1">
      <w:start w:val="1"/>
      <w:numFmt w:val="bullet"/>
      <w:lvlText w:val="•"/>
      <w:lvlJc w:val="left"/>
      <w:pPr>
        <w:tabs>
          <w:tab w:val="num" w:pos="2880"/>
        </w:tabs>
        <w:ind w:left="2880" w:hanging="360"/>
      </w:pPr>
      <w:rPr>
        <w:rFonts w:ascii="Arial" w:hAnsi="Arial" w:hint="default"/>
      </w:rPr>
    </w:lvl>
    <w:lvl w:ilvl="4" w:tplc="7AFC9B00" w:tentative="1">
      <w:start w:val="1"/>
      <w:numFmt w:val="bullet"/>
      <w:lvlText w:val="•"/>
      <w:lvlJc w:val="left"/>
      <w:pPr>
        <w:tabs>
          <w:tab w:val="num" w:pos="3600"/>
        </w:tabs>
        <w:ind w:left="3600" w:hanging="360"/>
      </w:pPr>
      <w:rPr>
        <w:rFonts w:ascii="Arial" w:hAnsi="Arial" w:hint="default"/>
      </w:rPr>
    </w:lvl>
    <w:lvl w:ilvl="5" w:tplc="C1D6C980" w:tentative="1">
      <w:start w:val="1"/>
      <w:numFmt w:val="bullet"/>
      <w:lvlText w:val="•"/>
      <w:lvlJc w:val="left"/>
      <w:pPr>
        <w:tabs>
          <w:tab w:val="num" w:pos="4320"/>
        </w:tabs>
        <w:ind w:left="4320" w:hanging="360"/>
      </w:pPr>
      <w:rPr>
        <w:rFonts w:ascii="Arial" w:hAnsi="Arial" w:hint="default"/>
      </w:rPr>
    </w:lvl>
    <w:lvl w:ilvl="6" w:tplc="BCE88114" w:tentative="1">
      <w:start w:val="1"/>
      <w:numFmt w:val="bullet"/>
      <w:lvlText w:val="•"/>
      <w:lvlJc w:val="left"/>
      <w:pPr>
        <w:tabs>
          <w:tab w:val="num" w:pos="5040"/>
        </w:tabs>
        <w:ind w:left="5040" w:hanging="360"/>
      </w:pPr>
      <w:rPr>
        <w:rFonts w:ascii="Arial" w:hAnsi="Arial" w:hint="default"/>
      </w:rPr>
    </w:lvl>
    <w:lvl w:ilvl="7" w:tplc="7C2E8CD2" w:tentative="1">
      <w:start w:val="1"/>
      <w:numFmt w:val="bullet"/>
      <w:lvlText w:val="•"/>
      <w:lvlJc w:val="left"/>
      <w:pPr>
        <w:tabs>
          <w:tab w:val="num" w:pos="5760"/>
        </w:tabs>
        <w:ind w:left="5760" w:hanging="360"/>
      </w:pPr>
      <w:rPr>
        <w:rFonts w:ascii="Arial" w:hAnsi="Arial" w:hint="default"/>
      </w:rPr>
    </w:lvl>
    <w:lvl w:ilvl="8" w:tplc="B58A1D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24268F"/>
    <w:multiLevelType w:val="hybridMultilevel"/>
    <w:tmpl w:val="ED0E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0E17AE"/>
    <w:multiLevelType w:val="hybridMultilevel"/>
    <w:tmpl w:val="3592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0075C"/>
    <w:multiLevelType w:val="hybridMultilevel"/>
    <w:tmpl w:val="062C281A"/>
    <w:lvl w:ilvl="0" w:tplc="E89AD924">
      <w:start w:val="1"/>
      <w:numFmt w:val="bullet"/>
      <w:lvlText w:val="•"/>
      <w:lvlJc w:val="left"/>
      <w:pPr>
        <w:tabs>
          <w:tab w:val="num" w:pos="720"/>
        </w:tabs>
        <w:ind w:left="720" w:hanging="360"/>
      </w:pPr>
      <w:rPr>
        <w:rFonts w:ascii="Arial" w:hAnsi="Arial" w:hint="default"/>
      </w:rPr>
    </w:lvl>
    <w:lvl w:ilvl="1" w:tplc="D26E6348" w:tentative="1">
      <w:start w:val="1"/>
      <w:numFmt w:val="bullet"/>
      <w:lvlText w:val="•"/>
      <w:lvlJc w:val="left"/>
      <w:pPr>
        <w:tabs>
          <w:tab w:val="num" w:pos="1440"/>
        </w:tabs>
        <w:ind w:left="1440" w:hanging="360"/>
      </w:pPr>
      <w:rPr>
        <w:rFonts w:ascii="Arial" w:hAnsi="Arial" w:hint="default"/>
      </w:rPr>
    </w:lvl>
    <w:lvl w:ilvl="2" w:tplc="51524BC4" w:tentative="1">
      <w:start w:val="1"/>
      <w:numFmt w:val="bullet"/>
      <w:lvlText w:val="•"/>
      <w:lvlJc w:val="left"/>
      <w:pPr>
        <w:tabs>
          <w:tab w:val="num" w:pos="2160"/>
        </w:tabs>
        <w:ind w:left="2160" w:hanging="360"/>
      </w:pPr>
      <w:rPr>
        <w:rFonts w:ascii="Arial" w:hAnsi="Arial" w:hint="default"/>
      </w:rPr>
    </w:lvl>
    <w:lvl w:ilvl="3" w:tplc="ED940780" w:tentative="1">
      <w:start w:val="1"/>
      <w:numFmt w:val="bullet"/>
      <w:lvlText w:val="•"/>
      <w:lvlJc w:val="left"/>
      <w:pPr>
        <w:tabs>
          <w:tab w:val="num" w:pos="2880"/>
        </w:tabs>
        <w:ind w:left="2880" w:hanging="360"/>
      </w:pPr>
      <w:rPr>
        <w:rFonts w:ascii="Arial" w:hAnsi="Arial" w:hint="default"/>
      </w:rPr>
    </w:lvl>
    <w:lvl w:ilvl="4" w:tplc="2B024768" w:tentative="1">
      <w:start w:val="1"/>
      <w:numFmt w:val="bullet"/>
      <w:lvlText w:val="•"/>
      <w:lvlJc w:val="left"/>
      <w:pPr>
        <w:tabs>
          <w:tab w:val="num" w:pos="3600"/>
        </w:tabs>
        <w:ind w:left="3600" w:hanging="360"/>
      </w:pPr>
      <w:rPr>
        <w:rFonts w:ascii="Arial" w:hAnsi="Arial" w:hint="default"/>
      </w:rPr>
    </w:lvl>
    <w:lvl w:ilvl="5" w:tplc="D42E842E" w:tentative="1">
      <w:start w:val="1"/>
      <w:numFmt w:val="bullet"/>
      <w:lvlText w:val="•"/>
      <w:lvlJc w:val="left"/>
      <w:pPr>
        <w:tabs>
          <w:tab w:val="num" w:pos="4320"/>
        </w:tabs>
        <w:ind w:left="4320" w:hanging="360"/>
      </w:pPr>
      <w:rPr>
        <w:rFonts w:ascii="Arial" w:hAnsi="Arial" w:hint="default"/>
      </w:rPr>
    </w:lvl>
    <w:lvl w:ilvl="6" w:tplc="7BFE54B2" w:tentative="1">
      <w:start w:val="1"/>
      <w:numFmt w:val="bullet"/>
      <w:lvlText w:val="•"/>
      <w:lvlJc w:val="left"/>
      <w:pPr>
        <w:tabs>
          <w:tab w:val="num" w:pos="5040"/>
        </w:tabs>
        <w:ind w:left="5040" w:hanging="360"/>
      </w:pPr>
      <w:rPr>
        <w:rFonts w:ascii="Arial" w:hAnsi="Arial" w:hint="default"/>
      </w:rPr>
    </w:lvl>
    <w:lvl w:ilvl="7" w:tplc="9B3CDE14" w:tentative="1">
      <w:start w:val="1"/>
      <w:numFmt w:val="bullet"/>
      <w:lvlText w:val="•"/>
      <w:lvlJc w:val="left"/>
      <w:pPr>
        <w:tabs>
          <w:tab w:val="num" w:pos="5760"/>
        </w:tabs>
        <w:ind w:left="5760" w:hanging="360"/>
      </w:pPr>
      <w:rPr>
        <w:rFonts w:ascii="Arial" w:hAnsi="Arial" w:hint="default"/>
      </w:rPr>
    </w:lvl>
    <w:lvl w:ilvl="8" w:tplc="50846E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7A266B3"/>
    <w:multiLevelType w:val="hybridMultilevel"/>
    <w:tmpl w:val="1F240744"/>
    <w:lvl w:ilvl="0" w:tplc="02189B00">
      <w:start w:val="1"/>
      <w:numFmt w:val="bullet"/>
      <w:pStyle w:val="PHEBulletpoints"/>
      <w:lvlText w:val=""/>
      <w:lvlJc w:val="left"/>
      <w:pPr>
        <w:ind w:left="5037" w:hanging="360"/>
      </w:pPr>
      <w:rPr>
        <w:rFonts w:ascii="Symbol" w:hAnsi="Symbol" w:hint="default"/>
        <w:color w:val="auto"/>
      </w:rPr>
    </w:lvl>
    <w:lvl w:ilvl="1" w:tplc="08090003">
      <w:start w:val="1"/>
      <w:numFmt w:val="bullet"/>
      <w:lvlText w:val="o"/>
      <w:lvlJc w:val="left"/>
      <w:pPr>
        <w:ind w:left="5757" w:hanging="360"/>
      </w:pPr>
      <w:rPr>
        <w:rFonts w:ascii="Courier New" w:hAnsi="Courier New" w:cs="Courier New" w:hint="default"/>
      </w:rPr>
    </w:lvl>
    <w:lvl w:ilvl="2" w:tplc="08090005">
      <w:start w:val="1"/>
      <w:numFmt w:val="bullet"/>
      <w:lvlText w:val=""/>
      <w:lvlJc w:val="left"/>
      <w:pPr>
        <w:ind w:left="6477" w:hanging="360"/>
      </w:pPr>
      <w:rPr>
        <w:rFonts w:ascii="Wingdings" w:hAnsi="Wingdings" w:hint="default"/>
      </w:rPr>
    </w:lvl>
    <w:lvl w:ilvl="3" w:tplc="08090001">
      <w:start w:val="1"/>
      <w:numFmt w:val="bullet"/>
      <w:lvlText w:val=""/>
      <w:lvlJc w:val="left"/>
      <w:pPr>
        <w:ind w:left="7197" w:hanging="360"/>
      </w:pPr>
      <w:rPr>
        <w:rFonts w:ascii="Symbol" w:hAnsi="Symbol" w:hint="default"/>
      </w:rPr>
    </w:lvl>
    <w:lvl w:ilvl="4" w:tplc="08090003">
      <w:start w:val="1"/>
      <w:numFmt w:val="bullet"/>
      <w:lvlText w:val="o"/>
      <w:lvlJc w:val="left"/>
      <w:pPr>
        <w:ind w:left="7917" w:hanging="360"/>
      </w:pPr>
      <w:rPr>
        <w:rFonts w:ascii="Courier New" w:hAnsi="Courier New" w:cs="Courier New" w:hint="default"/>
      </w:rPr>
    </w:lvl>
    <w:lvl w:ilvl="5" w:tplc="08090005">
      <w:start w:val="1"/>
      <w:numFmt w:val="bullet"/>
      <w:lvlText w:val=""/>
      <w:lvlJc w:val="left"/>
      <w:pPr>
        <w:ind w:left="8637" w:hanging="360"/>
      </w:pPr>
      <w:rPr>
        <w:rFonts w:ascii="Wingdings" w:hAnsi="Wingdings" w:hint="default"/>
      </w:rPr>
    </w:lvl>
    <w:lvl w:ilvl="6" w:tplc="08090001">
      <w:start w:val="1"/>
      <w:numFmt w:val="bullet"/>
      <w:lvlText w:val=""/>
      <w:lvlJc w:val="left"/>
      <w:pPr>
        <w:ind w:left="9357" w:hanging="360"/>
      </w:pPr>
      <w:rPr>
        <w:rFonts w:ascii="Symbol" w:hAnsi="Symbol" w:hint="default"/>
      </w:rPr>
    </w:lvl>
    <w:lvl w:ilvl="7" w:tplc="08090003">
      <w:start w:val="1"/>
      <w:numFmt w:val="bullet"/>
      <w:lvlText w:val="o"/>
      <w:lvlJc w:val="left"/>
      <w:pPr>
        <w:ind w:left="10077" w:hanging="360"/>
      </w:pPr>
      <w:rPr>
        <w:rFonts w:ascii="Courier New" w:hAnsi="Courier New" w:cs="Courier New" w:hint="default"/>
      </w:rPr>
    </w:lvl>
    <w:lvl w:ilvl="8" w:tplc="08090005">
      <w:start w:val="1"/>
      <w:numFmt w:val="bullet"/>
      <w:lvlText w:val=""/>
      <w:lvlJc w:val="left"/>
      <w:pPr>
        <w:ind w:left="10797" w:hanging="360"/>
      </w:pPr>
      <w:rPr>
        <w:rFonts w:ascii="Wingdings" w:hAnsi="Wingdings" w:hint="default"/>
      </w:rPr>
    </w:lvl>
  </w:abstractNum>
  <w:num w:numId="1" w16cid:durableId="770391051">
    <w:abstractNumId w:val="3"/>
  </w:num>
  <w:num w:numId="2" w16cid:durableId="2061974751">
    <w:abstractNumId w:val="13"/>
  </w:num>
  <w:num w:numId="3" w16cid:durableId="2135172525">
    <w:abstractNumId w:val="0"/>
  </w:num>
  <w:num w:numId="4" w16cid:durableId="825440738">
    <w:abstractNumId w:val="2"/>
  </w:num>
  <w:num w:numId="5" w16cid:durableId="1231228842">
    <w:abstractNumId w:val="4"/>
  </w:num>
  <w:num w:numId="6" w16cid:durableId="444354655">
    <w:abstractNumId w:val="10"/>
  </w:num>
  <w:num w:numId="7" w16cid:durableId="1659261122">
    <w:abstractNumId w:val="8"/>
  </w:num>
  <w:num w:numId="8" w16cid:durableId="1502356273">
    <w:abstractNumId w:val="5"/>
  </w:num>
  <w:num w:numId="9" w16cid:durableId="1777284090">
    <w:abstractNumId w:val="3"/>
  </w:num>
  <w:num w:numId="10" w16cid:durableId="764112496">
    <w:abstractNumId w:val="1"/>
  </w:num>
  <w:num w:numId="11" w16cid:durableId="796223763">
    <w:abstractNumId w:val="12"/>
  </w:num>
  <w:num w:numId="12" w16cid:durableId="2110655178">
    <w:abstractNumId w:val="9"/>
  </w:num>
  <w:num w:numId="13" w16cid:durableId="914898273">
    <w:abstractNumId w:val="7"/>
  </w:num>
  <w:num w:numId="14" w16cid:durableId="12381317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4809794">
    <w:abstractNumId w:val="11"/>
  </w:num>
  <w:num w:numId="16" w16cid:durableId="75859670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550"/>
    <w:rsid w:val="000021CC"/>
    <w:rsid w:val="00003229"/>
    <w:rsid w:val="000063AC"/>
    <w:rsid w:val="00006ACA"/>
    <w:rsid w:val="00006F96"/>
    <w:rsid w:val="000075AD"/>
    <w:rsid w:val="00007F90"/>
    <w:rsid w:val="00007F93"/>
    <w:rsid w:val="000117EA"/>
    <w:rsid w:val="00012E36"/>
    <w:rsid w:val="000143A7"/>
    <w:rsid w:val="000144A0"/>
    <w:rsid w:val="00015F7C"/>
    <w:rsid w:val="00016993"/>
    <w:rsid w:val="000172A2"/>
    <w:rsid w:val="00017828"/>
    <w:rsid w:val="0002167E"/>
    <w:rsid w:val="00021EC0"/>
    <w:rsid w:val="00022186"/>
    <w:rsid w:val="0002380C"/>
    <w:rsid w:val="00024B8C"/>
    <w:rsid w:val="0002659C"/>
    <w:rsid w:val="00026873"/>
    <w:rsid w:val="00030807"/>
    <w:rsid w:val="00030D2C"/>
    <w:rsid w:val="000314C7"/>
    <w:rsid w:val="00031874"/>
    <w:rsid w:val="00031FAA"/>
    <w:rsid w:val="0003279E"/>
    <w:rsid w:val="000344FF"/>
    <w:rsid w:val="0003487B"/>
    <w:rsid w:val="00034A77"/>
    <w:rsid w:val="00034ADC"/>
    <w:rsid w:val="00036610"/>
    <w:rsid w:val="0003680D"/>
    <w:rsid w:val="00036F16"/>
    <w:rsid w:val="0003718E"/>
    <w:rsid w:val="00037F3E"/>
    <w:rsid w:val="00041805"/>
    <w:rsid w:val="00041873"/>
    <w:rsid w:val="00041B35"/>
    <w:rsid w:val="00041C8F"/>
    <w:rsid w:val="00043EB9"/>
    <w:rsid w:val="00045BC6"/>
    <w:rsid w:val="00045BEB"/>
    <w:rsid w:val="000468D1"/>
    <w:rsid w:val="00046966"/>
    <w:rsid w:val="000470F0"/>
    <w:rsid w:val="000519DB"/>
    <w:rsid w:val="00051D4B"/>
    <w:rsid w:val="0005235A"/>
    <w:rsid w:val="000525C5"/>
    <w:rsid w:val="00053A3F"/>
    <w:rsid w:val="000544B1"/>
    <w:rsid w:val="00054750"/>
    <w:rsid w:val="000548EB"/>
    <w:rsid w:val="00056D2E"/>
    <w:rsid w:val="00057253"/>
    <w:rsid w:val="00060795"/>
    <w:rsid w:val="00062CD1"/>
    <w:rsid w:val="000631B7"/>
    <w:rsid w:val="00063E06"/>
    <w:rsid w:val="000645CB"/>
    <w:rsid w:val="00064E94"/>
    <w:rsid w:val="000665BD"/>
    <w:rsid w:val="00067076"/>
    <w:rsid w:val="0006770C"/>
    <w:rsid w:val="000677D6"/>
    <w:rsid w:val="0007029F"/>
    <w:rsid w:val="00070D44"/>
    <w:rsid w:val="00071653"/>
    <w:rsid w:val="00071C9F"/>
    <w:rsid w:val="000732FF"/>
    <w:rsid w:val="00073466"/>
    <w:rsid w:val="00073E09"/>
    <w:rsid w:val="00073F13"/>
    <w:rsid w:val="00074161"/>
    <w:rsid w:val="0007453C"/>
    <w:rsid w:val="00076463"/>
    <w:rsid w:val="0008133C"/>
    <w:rsid w:val="000816FF"/>
    <w:rsid w:val="00082584"/>
    <w:rsid w:val="00082ED7"/>
    <w:rsid w:val="00084662"/>
    <w:rsid w:val="00087696"/>
    <w:rsid w:val="00087ABD"/>
    <w:rsid w:val="00087D91"/>
    <w:rsid w:val="00090D13"/>
    <w:rsid w:val="0009177A"/>
    <w:rsid w:val="00092BEC"/>
    <w:rsid w:val="0009618C"/>
    <w:rsid w:val="0009707E"/>
    <w:rsid w:val="0009770B"/>
    <w:rsid w:val="000A0998"/>
    <w:rsid w:val="000A0A37"/>
    <w:rsid w:val="000A1942"/>
    <w:rsid w:val="000A1BB8"/>
    <w:rsid w:val="000A324E"/>
    <w:rsid w:val="000A5A4E"/>
    <w:rsid w:val="000A7731"/>
    <w:rsid w:val="000A7B54"/>
    <w:rsid w:val="000B0A57"/>
    <w:rsid w:val="000B7B1D"/>
    <w:rsid w:val="000C0149"/>
    <w:rsid w:val="000C27F4"/>
    <w:rsid w:val="000C44BA"/>
    <w:rsid w:val="000C5322"/>
    <w:rsid w:val="000C792E"/>
    <w:rsid w:val="000C7D86"/>
    <w:rsid w:val="000D037B"/>
    <w:rsid w:val="000D0BF1"/>
    <w:rsid w:val="000D0EE3"/>
    <w:rsid w:val="000D109B"/>
    <w:rsid w:val="000D2A1E"/>
    <w:rsid w:val="000D33E3"/>
    <w:rsid w:val="000D46C6"/>
    <w:rsid w:val="000D4780"/>
    <w:rsid w:val="000D4C26"/>
    <w:rsid w:val="000D5CED"/>
    <w:rsid w:val="000D6B96"/>
    <w:rsid w:val="000D762A"/>
    <w:rsid w:val="000E0516"/>
    <w:rsid w:val="000E26DE"/>
    <w:rsid w:val="000E3851"/>
    <w:rsid w:val="000E4724"/>
    <w:rsid w:val="000E7A0D"/>
    <w:rsid w:val="000F0796"/>
    <w:rsid w:val="000F2C4F"/>
    <w:rsid w:val="000F3175"/>
    <w:rsid w:val="000F3626"/>
    <w:rsid w:val="000F5F24"/>
    <w:rsid w:val="000F661D"/>
    <w:rsid w:val="001001B7"/>
    <w:rsid w:val="00100B31"/>
    <w:rsid w:val="001024B5"/>
    <w:rsid w:val="0010306E"/>
    <w:rsid w:val="001050EC"/>
    <w:rsid w:val="00105E90"/>
    <w:rsid w:val="00106891"/>
    <w:rsid w:val="00106A28"/>
    <w:rsid w:val="00107DE8"/>
    <w:rsid w:val="00110DA6"/>
    <w:rsid w:val="0011268E"/>
    <w:rsid w:val="00112F24"/>
    <w:rsid w:val="00114248"/>
    <w:rsid w:val="001142F0"/>
    <w:rsid w:val="00114F96"/>
    <w:rsid w:val="00116908"/>
    <w:rsid w:val="00116F93"/>
    <w:rsid w:val="0012117D"/>
    <w:rsid w:val="00123BB8"/>
    <w:rsid w:val="00123F42"/>
    <w:rsid w:val="00124DAB"/>
    <w:rsid w:val="00126B83"/>
    <w:rsid w:val="00127030"/>
    <w:rsid w:val="00130C20"/>
    <w:rsid w:val="001313D3"/>
    <w:rsid w:val="001315F7"/>
    <w:rsid w:val="0013286D"/>
    <w:rsid w:val="00133660"/>
    <w:rsid w:val="00133A29"/>
    <w:rsid w:val="00133BF5"/>
    <w:rsid w:val="00135418"/>
    <w:rsid w:val="00136150"/>
    <w:rsid w:val="00136445"/>
    <w:rsid w:val="00136572"/>
    <w:rsid w:val="00141F4C"/>
    <w:rsid w:val="0014262B"/>
    <w:rsid w:val="00142C92"/>
    <w:rsid w:val="00151F14"/>
    <w:rsid w:val="001532D5"/>
    <w:rsid w:val="00156027"/>
    <w:rsid w:val="00156634"/>
    <w:rsid w:val="001567C8"/>
    <w:rsid w:val="001573A1"/>
    <w:rsid w:val="0016297A"/>
    <w:rsid w:val="001630E1"/>
    <w:rsid w:val="00163B50"/>
    <w:rsid w:val="00165EEA"/>
    <w:rsid w:val="00166AC9"/>
    <w:rsid w:val="00170C28"/>
    <w:rsid w:val="00173074"/>
    <w:rsid w:val="00174545"/>
    <w:rsid w:val="0017487D"/>
    <w:rsid w:val="00174DA9"/>
    <w:rsid w:val="00174E17"/>
    <w:rsid w:val="001759EA"/>
    <w:rsid w:val="00177795"/>
    <w:rsid w:val="00180280"/>
    <w:rsid w:val="001833E0"/>
    <w:rsid w:val="00183557"/>
    <w:rsid w:val="0018438D"/>
    <w:rsid w:val="001844D0"/>
    <w:rsid w:val="00185EC1"/>
    <w:rsid w:val="001870F3"/>
    <w:rsid w:val="001876D3"/>
    <w:rsid w:val="00187CA3"/>
    <w:rsid w:val="00191131"/>
    <w:rsid w:val="0019282D"/>
    <w:rsid w:val="00192E27"/>
    <w:rsid w:val="0019747C"/>
    <w:rsid w:val="001A1CFE"/>
    <w:rsid w:val="001A2007"/>
    <w:rsid w:val="001A325D"/>
    <w:rsid w:val="001A3357"/>
    <w:rsid w:val="001A3636"/>
    <w:rsid w:val="001A642B"/>
    <w:rsid w:val="001A6B60"/>
    <w:rsid w:val="001A754A"/>
    <w:rsid w:val="001A7FA1"/>
    <w:rsid w:val="001B0B92"/>
    <w:rsid w:val="001B26A5"/>
    <w:rsid w:val="001B29E3"/>
    <w:rsid w:val="001B35B4"/>
    <w:rsid w:val="001B3B92"/>
    <w:rsid w:val="001B40E7"/>
    <w:rsid w:val="001B463C"/>
    <w:rsid w:val="001B5AF0"/>
    <w:rsid w:val="001B5CDD"/>
    <w:rsid w:val="001B66EA"/>
    <w:rsid w:val="001B6E72"/>
    <w:rsid w:val="001B6EF3"/>
    <w:rsid w:val="001B7AF7"/>
    <w:rsid w:val="001B7C73"/>
    <w:rsid w:val="001C254A"/>
    <w:rsid w:val="001C2601"/>
    <w:rsid w:val="001C414F"/>
    <w:rsid w:val="001C4ADD"/>
    <w:rsid w:val="001C671C"/>
    <w:rsid w:val="001D0782"/>
    <w:rsid w:val="001D0CF1"/>
    <w:rsid w:val="001D13DC"/>
    <w:rsid w:val="001D32E3"/>
    <w:rsid w:val="001D3D33"/>
    <w:rsid w:val="001D5A0F"/>
    <w:rsid w:val="001D6038"/>
    <w:rsid w:val="001D6727"/>
    <w:rsid w:val="001D749B"/>
    <w:rsid w:val="001D7D7D"/>
    <w:rsid w:val="001E0881"/>
    <w:rsid w:val="001E0BC9"/>
    <w:rsid w:val="001E2A03"/>
    <w:rsid w:val="001E4491"/>
    <w:rsid w:val="001E44DA"/>
    <w:rsid w:val="001E53A6"/>
    <w:rsid w:val="001E66DF"/>
    <w:rsid w:val="001E73B3"/>
    <w:rsid w:val="001E74D8"/>
    <w:rsid w:val="001E7B30"/>
    <w:rsid w:val="001F0096"/>
    <w:rsid w:val="001F035A"/>
    <w:rsid w:val="001F2BB9"/>
    <w:rsid w:val="001F305B"/>
    <w:rsid w:val="001F3D82"/>
    <w:rsid w:val="001F523B"/>
    <w:rsid w:val="001F7B7F"/>
    <w:rsid w:val="001F7DF5"/>
    <w:rsid w:val="00200281"/>
    <w:rsid w:val="002004B9"/>
    <w:rsid w:val="00200775"/>
    <w:rsid w:val="00201E9D"/>
    <w:rsid w:val="00202BC3"/>
    <w:rsid w:val="00203485"/>
    <w:rsid w:val="0020443A"/>
    <w:rsid w:val="00204B4E"/>
    <w:rsid w:val="00206C50"/>
    <w:rsid w:val="00207203"/>
    <w:rsid w:val="00211216"/>
    <w:rsid w:val="002150F2"/>
    <w:rsid w:val="00215A8B"/>
    <w:rsid w:val="00216193"/>
    <w:rsid w:val="00220588"/>
    <w:rsid w:val="00222404"/>
    <w:rsid w:val="00222D85"/>
    <w:rsid w:val="002242B8"/>
    <w:rsid w:val="002252E5"/>
    <w:rsid w:val="00225590"/>
    <w:rsid w:val="00227882"/>
    <w:rsid w:val="00230CDC"/>
    <w:rsid w:val="00231087"/>
    <w:rsid w:val="0023113B"/>
    <w:rsid w:val="002328B2"/>
    <w:rsid w:val="00232995"/>
    <w:rsid w:val="00234240"/>
    <w:rsid w:val="00234D2C"/>
    <w:rsid w:val="00236762"/>
    <w:rsid w:val="00236F80"/>
    <w:rsid w:val="00236FAF"/>
    <w:rsid w:val="0023711C"/>
    <w:rsid w:val="002411F4"/>
    <w:rsid w:val="002417FC"/>
    <w:rsid w:val="002427C6"/>
    <w:rsid w:val="002429D7"/>
    <w:rsid w:val="00243644"/>
    <w:rsid w:val="00245FA3"/>
    <w:rsid w:val="00246DF1"/>
    <w:rsid w:val="00247E6B"/>
    <w:rsid w:val="002507C9"/>
    <w:rsid w:val="00250C27"/>
    <w:rsid w:val="0025484C"/>
    <w:rsid w:val="00255730"/>
    <w:rsid w:val="002569D9"/>
    <w:rsid w:val="00257236"/>
    <w:rsid w:val="00257740"/>
    <w:rsid w:val="002605EC"/>
    <w:rsid w:val="00260D3F"/>
    <w:rsid w:val="0026103A"/>
    <w:rsid w:val="0026106C"/>
    <w:rsid w:val="00261D15"/>
    <w:rsid w:val="0026263E"/>
    <w:rsid w:val="002627F8"/>
    <w:rsid w:val="00266D73"/>
    <w:rsid w:val="0026736D"/>
    <w:rsid w:val="00267565"/>
    <w:rsid w:val="00273DD2"/>
    <w:rsid w:val="00274248"/>
    <w:rsid w:val="002751A0"/>
    <w:rsid w:val="0027601E"/>
    <w:rsid w:val="002778D3"/>
    <w:rsid w:val="002812AE"/>
    <w:rsid w:val="00281C9B"/>
    <w:rsid w:val="00282B17"/>
    <w:rsid w:val="00283EE0"/>
    <w:rsid w:val="0028476A"/>
    <w:rsid w:val="00285AC1"/>
    <w:rsid w:val="002860CF"/>
    <w:rsid w:val="00290465"/>
    <w:rsid w:val="00290AD1"/>
    <w:rsid w:val="00290BBD"/>
    <w:rsid w:val="00293E10"/>
    <w:rsid w:val="00294022"/>
    <w:rsid w:val="002942C2"/>
    <w:rsid w:val="00294A3A"/>
    <w:rsid w:val="00294BF8"/>
    <w:rsid w:val="0029502C"/>
    <w:rsid w:val="00295CC6"/>
    <w:rsid w:val="00295E45"/>
    <w:rsid w:val="002968B2"/>
    <w:rsid w:val="002973D4"/>
    <w:rsid w:val="002A028F"/>
    <w:rsid w:val="002A0DBD"/>
    <w:rsid w:val="002A19A1"/>
    <w:rsid w:val="002A2E40"/>
    <w:rsid w:val="002A3AD3"/>
    <w:rsid w:val="002A3C4D"/>
    <w:rsid w:val="002A4C82"/>
    <w:rsid w:val="002A554E"/>
    <w:rsid w:val="002A7953"/>
    <w:rsid w:val="002A7C79"/>
    <w:rsid w:val="002B01C4"/>
    <w:rsid w:val="002B073B"/>
    <w:rsid w:val="002B0DD8"/>
    <w:rsid w:val="002B12B6"/>
    <w:rsid w:val="002B4047"/>
    <w:rsid w:val="002B4B57"/>
    <w:rsid w:val="002B4C05"/>
    <w:rsid w:val="002B4C5F"/>
    <w:rsid w:val="002B532F"/>
    <w:rsid w:val="002B5B55"/>
    <w:rsid w:val="002B60A7"/>
    <w:rsid w:val="002B6A01"/>
    <w:rsid w:val="002C0FA6"/>
    <w:rsid w:val="002C20E2"/>
    <w:rsid w:val="002C21DB"/>
    <w:rsid w:val="002C4317"/>
    <w:rsid w:val="002C4A6B"/>
    <w:rsid w:val="002C5AE2"/>
    <w:rsid w:val="002C60B9"/>
    <w:rsid w:val="002C6320"/>
    <w:rsid w:val="002C6E87"/>
    <w:rsid w:val="002C7AC5"/>
    <w:rsid w:val="002C7ED8"/>
    <w:rsid w:val="002C7FE0"/>
    <w:rsid w:val="002D02A0"/>
    <w:rsid w:val="002D1313"/>
    <w:rsid w:val="002D1C1D"/>
    <w:rsid w:val="002D1E41"/>
    <w:rsid w:val="002D1EBC"/>
    <w:rsid w:val="002D3E65"/>
    <w:rsid w:val="002D4995"/>
    <w:rsid w:val="002E0831"/>
    <w:rsid w:val="002E1564"/>
    <w:rsid w:val="002E1BE5"/>
    <w:rsid w:val="002E24D8"/>
    <w:rsid w:val="002E321F"/>
    <w:rsid w:val="002E47A3"/>
    <w:rsid w:val="002E5E59"/>
    <w:rsid w:val="002E72BC"/>
    <w:rsid w:val="002F094E"/>
    <w:rsid w:val="002F12D9"/>
    <w:rsid w:val="002F20DB"/>
    <w:rsid w:val="002F2133"/>
    <w:rsid w:val="002F2B78"/>
    <w:rsid w:val="002F6858"/>
    <w:rsid w:val="002F7406"/>
    <w:rsid w:val="00300B5F"/>
    <w:rsid w:val="00300D1F"/>
    <w:rsid w:val="003010DD"/>
    <w:rsid w:val="003014A4"/>
    <w:rsid w:val="00301959"/>
    <w:rsid w:val="00302973"/>
    <w:rsid w:val="00303A49"/>
    <w:rsid w:val="0030467F"/>
    <w:rsid w:val="003052F7"/>
    <w:rsid w:val="00305312"/>
    <w:rsid w:val="003072F9"/>
    <w:rsid w:val="00307BA5"/>
    <w:rsid w:val="00311954"/>
    <w:rsid w:val="0031217E"/>
    <w:rsid w:val="0031236E"/>
    <w:rsid w:val="003123CC"/>
    <w:rsid w:val="00312BD1"/>
    <w:rsid w:val="0031449E"/>
    <w:rsid w:val="003151F9"/>
    <w:rsid w:val="00315664"/>
    <w:rsid w:val="00315725"/>
    <w:rsid w:val="003170BA"/>
    <w:rsid w:val="00317821"/>
    <w:rsid w:val="003179F0"/>
    <w:rsid w:val="003201A5"/>
    <w:rsid w:val="00321419"/>
    <w:rsid w:val="00322284"/>
    <w:rsid w:val="003234EA"/>
    <w:rsid w:val="00325AE8"/>
    <w:rsid w:val="00327B5F"/>
    <w:rsid w:val="00330944"/>
    <w:rsid w:val="003309CE"/>
    <w:rsid w:val="00331C1C"/>
    <w:rsid w:val="0033338F"/>
    <w:rsid w:val="003340BD"/>
    <w:rsid w:val="00334E82"/>
    <w:rsid w:val="003352F6"/>
    <w:rsid w:val="00335FB0"/>
    <w:rsid w:val="003361DE"/>
    <w:rsid w:val="00336C37"/>
    <w:rsid w:val="00336D38"/>
    <w:rsid w:val="00336E8F"/>
    <w:rsid w:val="00340892"/>
    <w:rsid w:val="0034180D"/>
    <w:rsid w:val="003426C8"/>
    <w:rsid w:val="00342D10"/>
    <w:rsid w:val="003431B3"/>
    <w:rsid w:val="003432A5"/>
    <w:rsid w:val="003445B9"/>
    <w:rsid w:val="003452FC"/>
    <w:rsid w:val="00345653"/>
    <w:rsid w:val="003458C6"/>
    <w:rsid w:val="00345F99"/>
    <w:rsid w:val="003460B7"/>
    <w:rsid w:val="0034633F"/>
    <w:rsid w:val="003475A5"/>
    <w:rsid w:val="00347B08"/>
    <w:rsid w:val="00347B7A"/>
    <w:rsid w:val="003535C8"/>
    <w:rsid w:val="00355D2B"/>
    <w:rsid w:val="003562AB"/>
    <w:rsid w:val="00357785"/>
    <w:rsid w:val="003613B1"/>
    <w:rsid w:val="003620C4"/>
    <w:rsid w:val="003624AA"/>
    <w:rsid w:val="0036295B"/>
    <w:rsid w:val="00365642"/>
    <w:rsid w:val="00366D69"/>
    <w:rsid w:val="0037304A"/>
    <w:rsid w:val="003732DF"/>
    <w:rsid w:val="00375017"/>
    <w:rsid w:val="00375C6C"/>
    <w:rsid w:val="00376265"/>
    <w:rsid w:val="0037712A"/>
    <w:rsid w:val="00381B57"/>
    <w:rsid w:val="003820AC"/>
    <w:rsid w:val="00382F79"/>
    <w:rsid w:val="00383CF2"/>
    <w:rsid w:val="0038446F"/>
    <w:rsid w:val="00384C25"/>
    <w:rsid w:val="00386A40"/>
    <w:rsid w:val="00390374"/>
    <w:rsid w:val="00391DF2"/>
    <w:rsid w:val="00392967"/>
    <w:rsid w:val="003930F6"/>
    <w:rsid w:val="00393B0A"/>
    <w:rsid w:val="00393CCE"/>
    <w:rsid w:val="0039480E"/>
    <w:rsid w:val="00395973"/>
    <w:rsid w:val="00396AD6"/>
    <w:rsid w:val="003973EB"/>
    <w:rsid w:val="00397F1B"/>
    <w:rsid w:val="003A1DEB"/>
    <w:rsid w:val="003A5CF6"/>
    <w:rsid w:val="003A5D73"/>
    <w:rsid w:val="003A62F6"/>
    <w:rsid w:val="003A630E"/>
    <w:rsid w:val="003A66EF"/>
    <w:rsid w:val="003A6930"/>
    <w:rsid w:val="003B12E1"/>
    <w:rsid w:val="003B1716"/>
    <w:rsid w:val="003B24F8"/>
    <w:rsid w:val="003B495D"/>
    <w:rsid w:val="003B5B7A"/>
    <w:rsid w:val="003B5CA2"/>
    <w:rsid w:val="003B6C47"/>
    <w:rsid w:val="003B7472"/>
    <w:rsid w:val="003B79C8"/>
    <w:rsid w:val="003C0C58"/>
    <w:rsid w:val="003C285F"/>
    <w:rsid w:val="003C2D81"/>
    <w:rsid w:val="003C3D88"/>
    <w:rsid w:val="003C6136"/>
    <w:rsid w:val="003C66E0"/>
    <w:rsid w:val="003D28C6"/>
    <w:rsid w:val="003D54A1"/>
    <w:rsid w:val="003D63BD"/>
    <w:rsid w:val="003D7555"/>
    <w:rsid w:val="003D7A07"/>
    <w:rsid w:val="003E0275"/>
    <w:rsid w:val="003E1032"/>
    <w:rsid w:val="003E1955"/>
    <w:rsid w:val="003E1D61"/>
    <w:rsid w:val="003E365B"/>
    <w:rsid w:val="003E661C"/>
    <w:rsid w:val="003E6BC0"/>
    <w:rsid w:val="003F42A8"/>
    <w:rsid w:val="003F4971"/>
    <w:rsid w:val="003F54BA"/>
    <w:rsid w:val="003F7372"/>
    <w:rsid w:val="004020C6"/>
    <w:rsid w:val="004020E7"/>
    <w:rsid w:val="00402A67"/>
    <w:rsid w:val="00404501"/>
    <w:rsid w:val="00405D29"/>
    <w:rsid w:val="00405FCC"/>
    <w:rsid w:val="004074E3"/>
    <w:rsid w:val="00411215"/>
    <w:rsid w:val="00412BA0"/>
    <w:rsid w:val="00414224"/>
    <w:rsid w:val="004159F7"/>
    <w:rsid w:val="00416CA9"/>
    <w:rsid w:val="00416E07"/>
    <w:rsid w:val="0042450B"/>
    <w:rsid w:val="00426B8A"/>
    <w:rsid w:val="0042748F"/>
    <w:rsid w:val="00427658"/>
    <w:rsid w:val="00430641"/>
    <w:rsid w:val="0043111A"/>
    <w:rsid w:val="00431271"/>
    <w:rsid w:val="0043143D"/>
    <w:rsid w:val="0043354C"/>
    <w:rsid w:val="00434022"/>
    <w:rsid w:val="00435100"/>
    <w:rsid w:val="00435756"/>
    <w:rsid w:val="00435C14"/>
    <w:rsid w:val="00436532"/>
    <w:rsid w:val="00436EC6"/>
    <w:rsid w:val="00437365"/>
    <w:rsid w:val="00440A9C"/>
    <w:rsid w:val="00440AAB"/>
    <w:rsid w:val="00440DAA"/>
    <w:rsid w:val="0044242D"/>
    <w:rsid w:val="00442C6B"/>
    <w:rsid w:val="0044338B"/>
    <w:rsid w:val="004438D7"/>
    <w:rsid w:val="00444A30"/>
    <w:rsid w:val="0044536F"/>
    <w:rsid w:val="00452172"/>
    <w:rsid w:val="0045235F"/>
    <w:rsid w:val="00452695"/>
    <w:rsid w:val="0045330F"/>
    <w:rsid w:val="0045375D"/>
    <w:rsid w:val="00454252"/>
    <w:rsid w:val="004547E1"/>
    <w:rsid w:val="00455B70"/>
    <w:rsid w:val="0045623D"/>
    <w:rsid w:val="00456D05"/>
    <w:rsid w:val="004579D6"/>
    <w:rsid w:val="00461485"/>
    <w:rsid w:val="00462973"/>
    <w:rsid w:val="00462C71"/>
    <w:rsid w:val="00462D3E"/>
    <w:rsid w:val="00464976"/>
    <w:rsid w:val="004677C0"/>
    <w:rsid w:val="004677C6"/>
    <w:rsid w:val="00470768"/>
    <w:rsid w:val="00471025"/>
    <w:rsid w:val="00471A21"/>
    <w:rsid w:val="00473A1D"/>
    <w:rsid w:val="00474795"/>
    <w:rsid w:val="00476126"/>
    <w:rsid w:val="00481341"/>
    <w:rsid w:val="00481A0C"/>
    <w:rsid w:val="004826CF"/>
    <w:rsid w:val="0048411D"/>
    <w:rsid w:val="00484AF1"/>
    <w:rsid w:val="004852F3"/>
    <w:rsid w:val="0048603E"/>
    <w:rsid w:val="004909DD"/>
    <w:rsid w:val="00490BB0"/>
    <w:rsid w:val="0049121F"/>
    <w:rsid w:val="004928C8"/>
    <w:rsid w:val="004929ED"/>
    <w:rsid w:val="004970F3"/>
    <w:rsid w:val="004A1B8D"/>
    <w:rsid w:val="004A3028"/>
    <w:rsid w:val="004A6BC5"/>
    <w:rsid w:val="004A7B23"/>
    <w:rsid w:val="004B20D4"/>
    <w:rsid w:val="004B40ED"/>
    <w:rsid w:val="004B77E0"/>
    <w:rsid w:val="004C01F0"/>
    <w:rsid w:val="004C0A37"/>
    <w:rsid w:val="004C2886"/>
    <w:rsid w:val="004C33AA"/>
    <w:rsid w:val="004C4000"/>
    <w:rsid w:val="004C4523"/>
    <w:rsid w:val="004C799C"/>
    <w:rsid w:val="004D02CC"/>
    <w:rsid w:val="004D1ACF"/>
    <w:rsid w:val="004D2692"/>
    <w:rsid w:val="004D3143"/>
    <w:rsid w:val="004D48DB"/>
    <w:rsid w:val="004D4C2E"/>
    <w:rsid w:val="004D52D5"/>
    <w:rsid w:val="004D5AF3"/>
    <w:rsid w:val="004D6ACC"/>
    <w:rsid w:val="004D7907"/>
    <w:rsid w:val="004E1060"/>
    <w:rsid w:val="004E1E79"/>
    <w:rsid w:val="004E1F95"/>
    <w:rsid w:val="004E3215"/>
    <w:rsid w:val="004E4976"/>
    <w:rsid w:val="004E4B82"/>
    <w:rsid w:val="004E4CCA"/>
    <w:rsid w:val="004E5248"/>
    <w:rsid w:val="004E5D8B"/>
    <w:rsid w:val="004E747F"/>
    <w:rsid w:val="004F020E"/>
    <w:rsid w:val="004F0D36"/>
    <w:rsid w:val="004F15E8"/>
    <w:rsid w:val="004F3BE4"/>
    <w:rsid w:val="004F6DC1"/>
    <w:rsid w:val="004F7284"/>
    <w:rsid w:val="005001A9"/>
    <w:rsid w:val="00500368"/>
    <w:rsid w:val="00500831"/>
    <w:rsid w:val="00500C15"/>
    <w:rsid w:val="00501B5C"/>
    <w:rsid w:val="005024FA"/>
    <w:rsid w:val="00503FC1"/>
    <w:rsid w:val="00504954"/>
    <w:rsid w:val="00505480"/>
    <w:rsid w:val="00505645"/>
    <w:rsid w:val="00506465"/>
    <w:rsid w:val="005077EB"/>
    <w:rsid w:val="00507B11"/>
    <w:rsid w:val="00507D70"/>
    <w:rsid w:val="00510706"/>
    <w:rsid w:val="00510A3A"/>
    <w:rsid w:val="005130ED"/>
    <w:rsid w:val="005138FF"/>
    <w:rsid w:val="00514479"/>
    <w:rsid w:val="0051500E"/>
    <w:rsid w:val="0051648F"/>
    <w:rsid w:val="00516DCA"/>
    <w:rsid w:val="00520ED0"/>
    <w:rsid w:val="00521D18"/>
    <w:rsid w:val="00521D54"/>
    <w:rsid w:val="00521D8B"/>
    <w:rsid w:val="00522996"/>
    <w:rsid w:val="00523B98"/>
    <w:rsid w:val="00523E47"/>
    <w:rsid w:val="0052419A"/>
    <w:rsid w:val="00525688"/>
    <w:rsid w:val="00526AD6"/>
    <w:rsid w:val="00526C57"/>
    <w:rsid w:val="00527641"/>
    <w:rsid w:val="0052781E"/>
    <w:rsid w:val="00527B31"/>
    <w:rsid w:val="00527DA5"/>
    <w:rsid w:val="005304CB"/>
    <w:rsid w:val="00531093"/>
    <w:rsid w:val="00531B23"/>
    <w:rsid w:val="00531DBF"/>
    <w:rsid w:val="00532F4C"/>
    <w:rsid w:val="0053518B"/>
    <w:rsid w:val="0053602A"/>
    <w:rsid w:val="0053634A"/>
    <w:rsid w:val="00536BA0"/>
    <w:rsid w:val="00540068"/>
    <w:rsid w:val="0054010A"/>
    <w:rsid w:val="0054035C"/>
    <w:rsid w:val="005409F3"/>
    <w:rsid w:val="00540BAB"/>
    <w:rsid w:val="005411E7"/>
    <w:rsid w:val="00542753"/>
    <w:rsid w:val="00543A61"/>
    <w:rsid w:val="00543A73"/>
    <w:rsid w:val="0054787A"/>
    <w:rsid w:val="0055207E"/>
    <w:rsid w:val="00553515"/>
    <w:rsid w:val="00554352"/>
    <w:rsid w:val="00554CBE"/>
    <w:rsid w:val="00555673"/>
    <w:rsid w:val="00555EB2"/>
    <w:rsid w:val="00556085"/>
    <w:rsid w:val="00556F8A"/>
    <w:rsid w:val="005576E2"/>
    <w:rsid w:val="0056012F"/>
    <w:rsid w:val="00562643"/>
    <w:rsid w:val="00562707"/>
    <w:rsid w:val="005629D7"/>
    <w:rsid w:val="005647C8"/>
    <w:rsid w:val="00566AD4"/>
    <w:rsid w:val="00570247"/>
    <w:rsid w:val="00570A6B"/>
    <w:rsid w:val="00571110"/>
    <w:rsid w:val="005743FD"/>
    <w:rsid w:val="005765EE"/>
    <w:rsid w:val="00581DED"/>
    <w:rsid w:val="00581FFF"/>
    <w:rsid w:val="00582E01"/>
    <w:rsid w:val="005838D9"/>
    <w:rsid w:val="00583B49"/>
    <w:rsid w:val="00583C14"/>
    <w:rsid w:val="00584905"/>
    <w:rsid w:val="00584ABC"/>
    <w:rsid w:val="00584EDA"/>
    <w:rsid w:val="00585EFA"/>
    <w:rsid w:val="00587B78"/>
    <w:rsid w:val="00591481"/>
    <w:rsid w:val="00592994"/>
    <w:rsid w:val="00593E24"/>
    <w:rsid w:val="00594849"/>
    <w:rsid w:val="005950FC"/>
    <w:rsid w:val="005953B3"/>
    <w:rsid w:val="00596130"/>
    <w:rsid w:val="0059625E"/>
    <w:rsid w:val="00596D39"/>
    <w:rsid w:val="005A0536"/>
    <w:rsid w:val="005A1036"/>
    <w:rsid w:val="005A1248"/>
    <w:rsid w:val="005A5DAE"/>
    <w:rsid w:val="005A64D3"/>
    <w:rsid w:val="005A72C6"/>
    <w:rsid w:val="005A798A"/>
    <w:rsid w:val="005A7EFD"/>
    <w:rsid w:val="005B1E1A"/>
    <w:rsid w:val="005B28CB"/>
    <w:rsid w:val="005B2C7E"/>
    <w:rsid w:val="005B2FAA"/>
    <w:rsid w:val="005B34EC"/>
    <w:rsid w:val="005B393F"/>
    <w:rsid w:val="005B3A07"/>
    <w:rsid w:val="005B3F9B"/>
    <w:rsid w:val="005B413D"/>
    <w:rsid w:val="005B542A"/>
    <w:rsid w:val="005B552F"/>
    <w:rsid w:val="005B6667"/>
    <w:rsid w:val="005B66D9"/>
    <w:rsid w:val="005B75B4"/>
    <w:rsid w:val="005C006D"/>
    <w:rsid w:val="005C0C89"/>
    <w:rsid w:val="005C1A4E"/>
    <w:rsid w:val="005C28AD"/>
    <w:rsid w:val="005C3285"/>
    <w:rsid w:val="005C4405"/>
    <w:rsid w:val="005C461E"/>
    <w:rsid w:val="005C47BF"/>
    <w:rsid w:val="005C4A85"/>
    <w:rsid w:val="005C6DF5"/>
    <w:rsid w:val="005D220C"/>
    <w:rsid w:val="005D289A"/>
    <w:rsid w:val="005D28D9"/>
    <w:rsid w:val="005D2BF1"/>
    <w:rsid w:val="005D2D3C"/>
    <w:rsid w:val="005D2F50"/>
    <w:rsid w:val="005D3DDC"/>
    <w:rsid w:val="005D43F6"/>
    <w:rsid w:val="005D5C59"/>
    <w:rsid w:val="005D6F5D"/>
    <w:rsid w:val="005D6F8B"/>
    <w:rsid w:val="005D7BC6"/>
    <w:rsid w:val="005E04A0"/>
    <w:rsid w:val="005E4550"/>
    <w:rsid w:val="005E6772"/>
    <w:rsid w:val="005E7174"/>
    <w:rsid w:val="005E754C"/>
    <w:rsid w:val="005F17AF"/>
    <w:rsid w:val="005F36F1"/>
    <w:rsid w:val="005F3B5C"/>
    <w:rsid w:val="005F43E0"/>
    <w:rsid w:val="005F529B"/>
    <w:rsid w:val="005F5AB8"/>
    <w:rsid w:val="005F681E"/>
    <w:rsid w:val="005F710F"/>
    <w:rsid w:val="006007ED"/>
    <w:rsid w:val="00601E2E"/>
    <w:rsid w:val="006052C3"/>
    <w:rsid w:val="006052F0"/>
    <w:rsid w:val="00607983"/>
    <w:rsid w:val="00607B1D"/>
    <w:rsid w:val="0061044C"/>
    <w:rsid w:val="0061106B"/>
    <w:rsid w:val="00611B55"/>
    <w:rsid w:val="006120E5"/>
    <w:rsid w:val="00614CFE"/>
    <w:rsid w:val="00617D1C"/>
    <w:rsid w:val="00620001"/>
    <w:rsid w:val="00620CE1"/>
    <w:rsid w:val="0062173D"/>
    <w:rsid w:val="00621C08"/>
    <w:rsid w:val="006221BD"/>
    <w:rsid w:val="006241F9"/>
    <w:rsid w:val="00624E85"/>
    <w:rsid w:val="006255E3"/>
    <w:rsid w:val="00625601"/>
    <w:rsid w:val="00626C15"/>
    <w:rsid w:val="00627E08"/>
    <w:rsid w:val="006300B9"/>
    <w:rsid w:val="0063305D"/>
    <w:rsid w:val="00633B4C"/>
    <w:rsid w:val="00634018"/>
    <w:rsid w:val="00634FB4"/>
    <w:rsid w:val="006353E6"/>
    <w:rsid w:val="006356CE"/>
    <w:rsid w:val="0063796E"/>
    <w:rsid w:val="00641538"/>
    <w:rsid w:val="00642F54"/>
    <w:rsid w:val="006434FD"/>
    <w:rsid w:val="00644FE5"/>
    <w:rsid w:val="0064556A"/>
    <w:rsid w:val="006460BD"/>
    <w:rsid w:val="0064611B"/>
    <w:rsid w:val="00647154"/>
    <w:rsid w:val="00647170"/>
    <w:rsid w:val="00647A64"/>
    <w:rsid w:val="00651A9F"/>
    <w:rsid w:val="00651B58"/>
    <w:rsid w:val="00651C8C"/>
    <w:rsid w:val="006545E6"/>
    <w:rsid w:val="006552DC"/>
    <w:rsid w:val="00655DB3"/>
    <w:rsid w:val="00656531"/>
    <w:rsid w:val="00657025"/>
    <w:rsid w:val="00660F87"/>
    <w:rsid w:val="00661FFF"/>
    <w:rsid w:val="006622E4"/>
    <w:rsid w:val="00663369"/>
    <w:rsid w:val="0066339E"/>
    <w:rsid w:val="00663482"/>
    <w:rsid w:val="00663B71"/>
    <w:rsid w:val="00664535"/>
    <w:rsid w:val="00664899"/>
    <w:rsid w:val="0067091E"/>
    <w:rsid w:val="00670C62"/>
    <w:rsid w:val="0067191F"/>
    <w:rsid w:val="0067457F"/>
    <w:rsid w:val="00674F17"/>
    <w:rsid w:val="0067602F"/>
    <w:rsid w:val="006764FE"/>
    <w:rsid w:val="006768A4"/>
    <w:rsid w:val="00682607"/>
    <w:rsid w:val="0068336C"/>
    <w:rsid w:val="00684BA0"/>
    <w:rsid w:val="00685E78"/>
    <w:rsid w:val="00686DDB"/>
    <w:rsid w:val="006872B1"/>
    <w:rsid w:val="00687530"/>
    <w:rsid w:val="00687AFA"/>
    <w:rsid w:val="006912A1"/>
    <w:rsid w:val="0069157C"/>
    <w:rsid w:val="00691BEF"/>
    <w:rsid w:val="006948DF"/>
    <w:rsid w:val="006960FC"/>
    <w:rsid w:val="006A3D0A"/>
    <w:rsid w:val="006A3E30"/>
    <w:rsid w:val="006A5FB4"/>
    <w:rsid w:val="006A7AEF"/>
    <w:rsid w:val="006B089F"/>
    <w:rsid w:val="006B097A"/>
    <w:rsid w:val="006B0D7F"/>
    <w:rsid w:val="006B1225"/>
    <w:rsid w:val="006B2CF0"/>
    <w:rsid w:val="006B4118"/>
    <w:rsid w:val="006B48A7"/>
    <w:rsid w:val="006B48EF"/>
    <w:rsid w:val="006B4B29"/>
    <w:rsid w:val="006B61BC"/>
    <w:rsid w:val="006B6D43"/>
    <w:rsid w:val="006C0120"/>
    <w:rsid w:val="006C079B"/>
    <w:rsid w:val="006C0F81"/>
    <w:rsid w:val="006C150E"/>
    <w:rsid w:val="006C165A"/>
    <w:rsid w:val="006C1F6B"/>
    <w:rsid w:val="006C262F"/>
    <w:rsid w:val="006C2B0A"/>
    <w:rsid w:val="006C2BA3"/>
    <w:rsid w:val="006C3707"/>
    <w:rsid w:val="006C3D58"/>
    <w:rsid w:val="006C60FD"/>
    <w:rsid w:val="006C680C"/>
    <w:rsid w:val="006C6CB8"/>
    <w:rsid w:val="006C73A5"/>
    <w:rsid w:val="006D1453"/>
    <w:rsid w:val="006D2465"/>
    <w:rsid w:val="006D3858"/>
    <w:rsid w:val="006D4013"/>
    <w:rsid w:val="006D40B9"/>
    <w:rsid w:val="006D675E"/>
    <w:rsid w:val="006D73ED"/>
    <w:rsid w:val="006E1F4B"/>
    <w:rsid w:val="006E2BD8"/>
    <w:rsid w:val="006E2C02"/>
    <w:rsid w:val="006E2E73"/>
    <w:rsid w:val="006E3439"/>
    <w:rsid w:val="006E5298"/>
    <w:rsid w:val="006E5D12"/>
    <w:rsid w:val="006E6E5E"/>
    <w:rsid w:val="006E7B21"/>
    <w:rsid w:val="006F142E"/>
    <w:rsid w:val="006F1F0D"/>
    <w:rsid w:val="006F2305"/>
    <w:rsid w:val="006F2D23"/>
    <w:rsid w:val="006F67BF"/>
    <w:rsid w:val="007000DE"/>
    <w:rsid w:val="00700416"/>
    <w:rsid w:val="00700F49"/>
    <w:rsid w:val="007015A1"/>
    <w:rsid w:val="00702851"/>
    <w:rsid w:val="007049AD"/>
    <w:rsid w:val="00705E73"/>
    <w:rsid w:val="00706114"/>
    <w:rsid w:val="007064F1"/>
    <w:rsid w:val="0070768C"/>
    <w:rsid w:val="00710332"/>
    <w:rsid w:val="00710685"/>
    <w:rsid w:val="00711E9E"/>
    <w:rsid w:val="00711EA4"/>
    <w:rsid w:val="00712302"/>
    <w:rsid w:val="0071304C"/>
    <w:rsid w:val="0071334E"/>
    <w:rsid w:val="00715714"/>
    <w:rsid w:val="00721264"/>
    <w:rsid w:val="007216D8"/>
    <w:rsid w:val="007234BC"/>
    <w:rsid w:val="00724677"/>
    <w:rsid w:val="00724E63"/>
    <w:rsid w:val="00726937"/>
    <w:rsid w:val="00726EBB"/>
    <w:rsid w:val="007276C7"/>
    <w:rsid w:val="00730C5C"/>
    <w:rsid w:val="007315EC"/>
    <w:rsid w:val="00731733"/>
    <w:rsid w:val="00732255"/>
    <w:rsid w:val="0073458C"/>
    <w:rsid w:val="00735619"/>
    <w:rsid w:val="00736851"/>
    <w:rsid w:val="00736E82"/>
    <w:rsid w:val="00740C8C"/>
    <w:rsid w:val="00741A20"/>
    <w:rsid w:val="00742E3E"/>
    <w:rsid w:val="007451E4"/>
    <w:rsid w:val="007453A9"/>
    <w:rsid w:val="0074747E"/>
    <w:rsid w:val="00750CF9"/>
    <w:rsid w:val="00752356"/>
    <w:rsid w:val="00754354"/>
    <w:rsid w:val="00754C1D"/>
    <w:rsid w:val="007553D0"/>
    <w:rsid w:val="00757B19"/>
    <w:rsid w:val="00760688"/>
    <w:rsid w:val="00760691"/>
    <w:rsid w:val="007608C4"/>
    <w:rsid w:val="00760A65"/>
    <w:rsid w:val="00760C36"/>
    <w:rsid w:val="007623C8"/>
    <w:rsid w:val="00762805"/>
    <w:rsid w:val="00762D2F"/>
    <w:rsid w:val="00762DED"/>
    <w:rsid w:val="00764562"/>
    <w:rsid w:val="00764805"/>
    <w:rsid w:val="00770B43"/>
    <w:rsid w:val="00771A50"/>
    <w:rsid w:val="00771B17"/>
    <w:rsid w:val="007759B2"/>
    <w:rsid w:val="00775E0C"/>
    <w:rsid w:val="00776720"/>
    <w:rsid w:val="00777066"/>
    <w:rsid w:val="00781595"/>
    <w:rsid w:val="00782A64"/>
    <w:rsid w:val="007854E6"/>
    <w:rsid w:val="0078600A"/>
    <w:rsid w:val="00786E41"/>
    <w:rsid w:val="00786F77"/>
    <w:rsid w:val="00790E12"/>
    <w:rsid w:val="007926D3"/>
    <w:rsid w:val="00792F26"/>
    <w:rsid w:val="007938AF"/>
    <w:rsid w:val="007945F5"/>
    <w:rsid w:val="00796E82"/>
    <w:rsid w:val="007A0D3C"/>
    <w:rsid w:val="007A0FF2"/>
    <w:rsid w:val="007A15A7"/>
    <w:rsid w:val="007A4128"/>
    <w:rsid w:val="007A5370"/>
    <w:rsid w:val="007B0C6D"/>
    <w:rsid w:val="007B11C3"/>
    <w:rsid w:val="007B4E68"/>
    <w:rsid w:val="007B778E"/>
    <w:rsid w:val="007B7805"/>
    <w:rsid w:val="007C0C41"/>
    <w:rsid w:val="007C1264"/>
    <w:rsid w:val="007C1C7B"/>
    <w:rsid w:val="007C23A2"/>
    <w:rsid w:val="007C25F6"/>
    <w:rsid w:val="007C2D46"/>
    <w:rsid w:val="007C37CA"/>
    <w:rsid w:val="007C4388"/>
    <w:rsid w:val="007C609E"/>
    <w:rsid w:val="007C6CD1"/>
    <w:rsid w:val="007C7358"/>
    <w:rsid w:val="007C7363"/>
    <w:rsid w:val="007D0615"/>
    <w:rsid w:val="007D0670"/>
    <w:rsid w:val="007D310A"/>
    <w:rsid w:val="007D386D"/>
    <w:rsid w:val="007D6014"/>
    <w:rsid w:val="007D7554"/>
    <w:rsid w:val="007E006E"/>
    <w:rsid w:val="007E382A"/>
    <w:rsid w:val="007E44CA"/>
    <w:rsid w:val="007E5D22"/>
    <w:rsid w:val="007F17C3"/>
    <w:rsid w:val="007F1E10"/>
    <w:rsid w:val="007F2934"/>
    <w:rsid w:val="007F4DCA"/>
    <w:rsid w:val="007F52E6"/>
    <w:rsid w:val="007F7015"/>
    <w:rsid w:val="007F74B9"/>
    <w:rsid w:val="007F7FC4"/>
    <w:rsid w:val="008001D1"/>
    <w:rsid w:val="00800937"/>
    <w:rsid w:val="0080126D"/>
    <w:rsid w:val="00801C33"/>
    <w:rsid w:val="00803140"/>
    <w:rsid w:val="0080328E"/>
    <w:rsid w:val="00803A6C"/>
    <w:rsid w:val="008041DB"/>
    <w:rsid w:val="00804E28"/>
    <w:rsid w:val="00806CA3"/>
    <w:rsid w:val="00807AD9"/>
    <w:rsid w:val="00807E87"/>
    <w:rsid w:val="0081118F"/>
    <w:rsid w:val="00812896"/>
    <w:rsid w:val="00813DC7"/>
    <w:rsid w:val="00814C1F"/>
    <w:rsid w:val="00815250"/>
    <w:rsid w:val="0081632F"/>
    <w:rsid w:val="00816635"/>
    <w:rsid w:val="00820DF0"/>
    <w:rsid w:val="00821CC4"/>
    <w:rsid w:val="00824214"/>
    <w:rsid w:val="00826E2A"/>
    <w:rsid w:val="00826E56"/>
    <w:rsid w:val="00831082"/>
    <w:rsid w:val="00831247"/>
    <w:rsid w:val="0083231D"/>
    <w:rsid w:val="00833FFA"/>
    <w:rsid w:val="00836B4D"/>
    <w:rsid w:val="00841EB9"/>
    <w:rsid w:val="00842DC9"/>
    <w:rsid w:val="0084650E"/>
    <w:rsid w:val="00846924"/>
    <w:rsid w:val="00846A33"/>
    <w:rsid w:val="00846ADE"/>
    <w:rsid w:val="008516CD"/>
    <w:rsid w:val="00851D41"/>
    <w:rsid w:val="00855FD5"/>
    <w:rsid w:val="00856414"/>
    <w:rsid w:val="008569DF"/>
    <w:rsid w:val="00857F36"/>
    <w:rsid w:val="0086107C"/>
    <w:rsid w:val="008626B2"/>
    <w:rsid w:val="008626CA"/>
    <w:rsid w:val="00865FBD"/>
    <w:rsid w:val="0086745B"/>
    <w:rsid w:val="0087011F"/>
    <w:rsid w:val="00870C50"/>
    <w:rsid w:val="008710E2"/>
    <w:rsid w:val="00871EEE"/>
    <w:rsid w:val="00872F2E"/>
    <w:rsid w:val="00873F14"/>
    <w:rsid w:val="00875A85"/>
    <w:rsid w:val="00876155"/>
    <w:rsid w:val="00876C50"/>
    <w:rsid w:val="00877D08"/>
    <w:rsid w:val="008801AB"/>
    <w:rsid w:val="008823CF"/>
    <w:rsid w:val="00885736"/>
    <w:rsid w:val="008862D8"/>
    <w:rsid w:val="00887A3E"/>
    <w:rsid w:val="00887BFB"/>
    <w:rsid w:val="00887D81"/>
    <w:rsid w:val="00891A44"/>
    <w:rsid w:val="00892E8D"/>
    <w:rsid w:val="0089530C"/>
    <w:rsid w:val="008A0E24"/>
    <w:rsid w:val="008A0FBD"/>
    <w:rsid w:val="008A1278"/>
    <w:rsid w:val="008A3451"/>
    <w:rsid w:val="008A3700"/>
    <w:rsid w:val="008A4669"/>
    <w:rsid w:val="008A72D5"/>
    <w:rsid w:val="008B00C1"/>
    <w:rsid w:val="008B2B9D"/>
    <w:rsid w:val="008B2DBC"/>
    <w:rsid w:val="008B478C"/>
    <w:rsid w:val="008B4E3C"/>
    <w:rsid w:val="008B66BB"/>
    <w:rsid w:val="008B7275"/>
    <w:rsid w:val="008B73E7"/>
    <w:rsid w:val="008B75D1"/>
    <w:rsid w:val="008C192D"/>
    <w:rsid w:val="008C2CD6"/>
    <w:rsid w:val="008C3C08"/>
    <w:rsid w:val="008C675E"/>
    <w:rsid w:val="008D098B"/>
    <w:rsid w:val="008D170F"/>
    <w:rsid w:val="008D1B85"/>
    <w:rsid w:val="008D1CF9"/>
    <w:rsid w:val="008D1FDF"/>
    <w:rsid w:val="008D3183"/>
    <w:rsid w:val="008D383A"/>
    <w:rsid w:val="008D7341"/>
    <w:rsid w:val="008D7635"/>
    <w:rsid w:val="008E2D1B"/>
    <w:rsid w:val="008E361B"/>
    <w:rsid w:val="008E43C8"/>
    <w:rsid w:val="008E59D4"/>
    <w:rsid w:val="008E5B35"/>
    <w:rsid w:val="008F0F8C"/>
    <w:rsid w:val="008F11DA"/>
    <w:rsid w:val="008F13B5"/>
    <w:rsid w:val="008F17F5"/>
    <w:rsid w:val="008F26CB"/>
    <w:rsid w:val="008F42E6"/>
    <w:rsid w:val="008F44D9"/>
    <w:rsid w:val="008F49F9"/>
    <w:rsid w:val="008F4B98"/>
    <w:rsid w:val="008F5E09"/>
    <w:rsid w:val="008F6855"/>
    <w:rsid w:val="00902E5F"/>
    <w:rsid w:val="009033F3"/>
    <w:rsid w:val="00904B85"/>
    <w:rsid w:val="00906A2D"/>
    <w:rsid w:val="00906D4E"/>
    <w:rsid w:val="00907E8C"/>
    <w:rsid w:val="00910241"/>
    <w:rsid w:val="009114B0"/>
    <w:rsid w:val="00912CC7"/>
    <w:rsid w:val="0091321C"/>
    <w:rsid w:val="00913B69"/>
    <w:rsid w:val="009230C4"/>
    <w:rsid w:val="0092619B"/>
    <w:rsid w:val="00926987"/>
    <w:rsid w:val="009272D6"/>
    <w:rsid w:val="00927FFE"/>
    <w:rsid w:val="00930000"/>
    <w:rsid w:val="00930194"/>
    <w:rsid w:val="00930BB7"/>
    <w:rsid w:val="0093104A"/>
    <w:rsid w:val="00931216"/>
    <w:rsid w:val="009312A1"/>
    <w:rsid w:val="00931D43"/>
    <w:rsid w:val="00933E82"/>
    <w:rsid w:val="00934214"/>
    <w:rsid w:val="00937869"/>
    <w:rsid w:val="009378E2"/>
    <w:rsid w:val="009402A0"/>
    <w:rsid w:val="00942D0D"/>
    <w:rsid w:val="00944F0B"/>
    <w:rsid w:val="00946A6D"/>
    <w:rsid w:val="0094706C"/>
    <w:rsid w:val="00947219"/>
    <w:rsid w:val="00947EBC"/>
    <w:rsid w:val="009504E6"/>
    <w:rsid w:val="00951228"/>
    <w:rsid w:val="00951615"/>
    <w:rsid w:val="00952AC1"/>
    <w:rsid w:val="00952CDA"/>
    <w:rsid w:val="0095369D"/>
    <w:rsid w:val="00954FCC"/>
    <w:rsid w:val="0095525F"/>
    <w:rsid w:val="00956810"/>
    <w:rsid w:val="00956994"/>
    <w:rsid w:val="00956E21"/>
    <w:rsid w:val="00957626"/>
    <w:rsid w:val="00960FE2"/>
    <w:rsid w:val="00963EB3"/>
    <w:rsid w:val="00964C67"/>
    <w:rsid w:val="009664FE"/>
    <w:rsid w:val="00967CCA"/>
    <w:rsid w:val="00967D58"/>
    <w:rsid w:val="00971D00"/>
    <w:rsid w:val="00971D2D"/>
    <w:rsid w:val="009733DA"/>
    <w:rsid w:val="00973682"/>
    <w:rsid w:val="009743DC"/>
    <w:rsid w:val="00975857"/>
    <w:rsid w:val="00975FCB"/>
    <w:rsid w:val="00981227"/>
    <w:rsid w:val="009817A0"/>
    <w:rsid w:val="0098200D"/>
    <w:rsid w:val="00983B2F"/>
    <w:rsid w:val="00983BE8"/>
    <w:rsid w:val="009861B3"/>
    <w:rsid w:val="009861FF"/>
    <w:rsid w:val="0098696A"/>
    <w:rsid w:val="0098777D"/>
    <w:rsid w:val="0099012C"/>
    <w:rsid w:val="00991D6E"/>
    <w:rsid w:val="0099473D"/>
    <w:rsid w:val="00995C92"/>
    <w:rsid w:val="009976B5"/>
    <w:rsid w:val="009A0FA2"/>
    <w:rsid w:val="009A2B5F"/>
    <w:rsid w:val="009A50DE"/>
    <w:rsid w:val="009A7E87"/>
    <w:rsid w:val="009B0107"/>
    <w:rsid w:val="009B115D"/>
    <w:rsid w:val="009B1BB1"/>
    <w:rsid w:val="009B227E"/>
    <w:rsid w:val="009B22DD"/>
    <w:rsid w:val="009B3580"/>
    <w:rsid w:val="009B3D1D"/>
    <w:rsid w:val="009B61A8"/>
    <w:rsid w:val="009B6740"/>
    <w:rsid w:val="009B73DC"/>
    <w:rsid w:val="009B75FB"/>
    <w:rsid w:val="009C0D2A"/>
    <w:rsid w:val="009C1D64"/>
    <w:rsid w:val="009C25A6"/>
    <w:rsid w:val="009C3DAD"/>
    <w:rsid w:val="009C5AEE"/>
    <w:rsid w:val="009D0FEC"/>
    <w:rsid w:val="009D45ED"/>
    <w:rsid w:val="009D4769"/>
    <w:rsid w:val="009D4C84"/>
    <w:rsid w:val="009D4CE4"/>
    <w:rsid w:val="009D5599"/>
    <w:rsid w:val="009D657E"/>
    <w:rsid w:val="009D72F7"/>
    <w:rsid w:val="009E0F8B"/>
    <w:rsid w:val="009E1C5B"/>
    <w:rsid w:val="009E1FA5"/>
    <w:rsid w:val="009E244B"/>
    <w:rsid w:val="009E2D25"/>
    <w:rsid w:val="009E3958"/>
    <w:rsid w:val="009E478E"/>
    <w:rsid w:val="009E4825"/>
    <w:rsid w:val="009E4A53"/>
    <w:rsid w:val="009E4A91"/>
    <w:rsid w:val="009E52D0"/>
    <w:rsid w:val="009E641E"/>
    <w:rsid w:val="009F081B"/>
    <w:rsid w:val="009F19EB"/>
    <w:rsid w:val="009F1FB2"/>
    <w:rsid w:val="009F42B4"/>
    <w:rsid w:val="009F47BF"/>
    <w:rsid w:val="009F665B"/>
    <w:rsid w:val="009F728A"/>
    <w:rsid w:val="009F7A73"/>
    <w:rsid w:val="00A010D3"/>
    <w:rsid w:val="00A027B8"/>
    <w:rsid w:val="00A02F09"/>
    <w:rsid w:val="00A0370D"/>
    <w:rsid w:val="00A037EF"/>
    <w:rsid w:val="00A04121"/>
    <w:rsid w:val="00A07ECF"/>
    <w:rsid w:val="00A108FD"/>
    <w:rsid w:val="00A1105A"/>
    <w:rsid w:val="00A1210E"/>
    <w:rsid w:val="00A123CD"/>
    <w:rsid w:val="00A1438A"/>
    <w:rsid w:val="00A16E0E"/>
    <w:rsid w:val="00A16E47"/>
    <w:rsid w:val="00A16EC0"/>
    <w:rsid w:val="00A17460"/>
    <w:rsid w:val="00A17802"/>
    <w:rsid w:val="00A17C7D"/>
    <w:rsid w:val="00A20630"/>
    <w:rsid w:val="00A23B7F"/>
    <w:rsid w:val="00A23EFE"/>
    <w:rsid w:val="00A242DC"/>
    <w:rsid w:val="00A25A6B"/>
    <w:rsid w:val="00A25B97"/>
    <w:rsid w:val="00A26343"/>
    <w:rsid w:val="00A27645"/>
    <w:rsid w:val="00A30EF9"/>
    <w:rsid w:val="00A33328"/>
    <w:rsid w:val="00A3398E"/>
    <w:rsid w:val="00A36F6B"/>
    <w:rsid w:val="00A37BEE"/>
    <w:rsid w:val="00A40102"/>
    <w:rsid w:val="00A43C75"/>
    <w:rsid w:val="00A455F4"/>
    <w:rsid w:val="00A4577D"/>
    <w:rsid w:val="00A4722D"/>
    <w:rsid w:val="00A51718"/>
    <w:rsid w:val="00A52E79"/>
    <w:rsid w:val="00A569EC"/>
    <w:rsid w:val="00A5711F"/>
    <w:rsid w:val="00A575DF"/>
    <w:rsid w:val="00A60DC2"/>
    <w:rsid w:val="00A62FE1"/>
    <w:rsid w:val="00A6452D"/>
    <w:rsid w:val="00A6514F"/>
    <w:rsid w:val="00A66E46"/>
    <w:rsid w:val="00A67B27"/>
    <w:rsid w:val="00A71EBD"/>
    <w:rsid w:val="00A72037"/>
    <w:rsid w:val="00A73337"/>
    <w:rsid w:val="00A735CC"/>
    <w:rsid w:val="00A7383E"/>
    <w:rsid w:val="00A73E16"/>
    <w:rsid w:val="00A74D36"/>
    <w:rsid w:val="00A75361"/>
    <w:rsid w:val="00A76C05"/>
    <w:rsid w:val="00A773A6"/>
    <w:rsid w:val="00A77BD4"/>
    <w:rsid w:val="00A81564"/>
    <w:rsid w:val="00A82A45"/>
    <w:rsid w:val="00A82B3C"/>
    <w:rsid w:val="00A83F33"/>
    <w:rsid w:val="00A844C2"/>
    <w:rsid w:val="00A84B8A"/>
    <w:rsid w:val="00A85F1A"/>
    <w:rsid w:val="00A871E3"/>
    <w:rsid w:val="00A90291"/>
    <w:rsid w:val="00A908AE"/>
    <w:rsid w:val="00A92F0F"/>
    <w:rsid w:val="00A931F1"/>
    <w:rsid w:val="00A96563"/>
    <w:rsid w:val="00A97371"/>
    <w:rsid w:val="00AA1041"/>
    <w:rsid w:val="00AA1326"/>
    <w:rsid w:val="00AA23E3"/>
    <w:rsid w:val="00AA2E61"/>
    <w:rsid w:val="00AA32EA"/>
    <w:rsid w:val="00AA52B0"/>
    <w:rsid w:val="00AA6630"/>
    <w:rsid w:val="00AB0465"/>
    <w:rsid w:val="00AB2A4C"/>
    <w:rsid w:val="00AB4973"/>
    <w:rsid w:val="00AB538B"/>
    <w:rsid w:val="00AB5A36"/>
    <w:rsid w:val="00AB6BD7"/>
    <w:rsid w:val="00AB7061"/>
    <w:rsid w:val="00AC061D"/>
    <w:rsid w:val="00AC0972"/>
    <w:rsid w:val="00AC6077"/>
    <w:rsid w:val="00AC6448"/>
    <w:rsid w:val="00AC6831"/>
    <w:rsid w:val="00AC6E01"/>
    <w:rsid w:val="00AC6FFF"/>
    <w:rsid w:val="00AC7335"/>
    <w:rsid w:val="00AC7411"/>
    <w:rsid w:val="00AC779F"/>
    <w:rsid w:val="00AC7905"/>
    <w:rsid w:val="00AC7B8D"/>
    <w:rsid w:val="00AC7C67"/>
    <w:rsid w:val="00AC7D20"/>
    <w:rsid w:val="00AD2582"/>
    <w:rsid w:val="00AD61B9"/>
    <w:rsid w:val="00AD69E2"/>
    <w:rsid w:val="00AD7248"/>
    <w:rsid w:val="00AD77F7"/>
    <w:rsid w:val="00AE1499"/>
    <w:rsid w:val="00AE410B"/>
    <w:rsid w:val="00AE597E"/>
    <w:rsid w:val="00AE7027"/>
    <w:rsid w:val="00AF0108"/>
    <w:rsid w:val="00AF0275"/>
    <w:rsid w:val="00AF038E"/>
    <w:rsid w:val="00AF1531"/>
    <w:rsid w:val="00AF1845"/>
    <w:rsid w:val="00AF284B"/>
    <w:rsid w:val="00AF338B"/>
    <w:rsid w:val="00AF3B5B"/>
    <w:rsid w:val="00AF413C"/>
    <w:rsid w:val="00AF5571"/>
    <w:rsid w:val="00AF5C31"/>
    <w:rsid w:val="00AF6366"/>
    <w:rsid w:val="00B001E6"/>
    <w:rsid w:val="00B005C7"/>
    <w:rsid w:val="00B006A6"/>
    <w:rsid w:val="00B008F2"/>
    <w:rsid w:val="00B019E0"/>
    <w:rsid w:val="00B02355"/>
    <w:rsid w:val="00B03B57"/>
    <w:rsid w:val="00B0469E"/>
    <w:rsid w:val="00B04D63"/>
    <w:rsid w:val="00B06625"/>
    <w:rsid w:val="00B10609"/>
    <w:rsid w:val="00B10EFE"/>
    <w:rsid w:val="00B11295"/>
    <w:rsid w:val="00B12134"/>
    <w:rsid w:val="00B12360"/>
    <w:rsid w:val="00B149A2"/>
    <w:rsid w:val="00B15228"/>
    <w:rsid w:val="00B155A6"/>
    <w:rsid w:val="00B17129"/>
    <w:rsid w:val="00B21127"/>
    <w:rsid w:val="00B21AE1"/>
    <w:rsid w:val="00B2232A"/>
    <w:rsid w:val="00B23F32"/>
    <w:rsid w:val="00B24B21"/>
    <w:rsid w:val="00B25F1A"/>
    <w:rsid w:val="00B2690B"/>
    <w:rsid w:val="00B26EB5"/>
    <w:rsid w:val="00B27822"/>
    <w:rsid w:val="00B27940"/>
    <w:rsid w:val="00B31BE1"/>
    <w:rsid w:val="00B320F3"/>
    <w:rsid w:val="00B32A26"/>
    <w:rsid w:val="00B33014"/>
    <w:rsid w:val="00B3307F"/>
    <w:rsid w:val="00B341BE"/>
    <w:rsid w:val="00B36F5C"/>
    <w:rsid w:val="00B41D3A"/>
    <w:rsid w:val="00B4364C"/>
    <w:rsid w:val="00B45226"/>
    <w:rsid w:val="00B5073A"/>
    <w:rsid w:val="00B51276"/>
    <w:rsid w:val="00B517D7"/>
    <w:rsid w:val="00B5193B"/>
    <w:rsid w:val="00B51B54"/>
    <w:rsid w:val="00B52C21"/>
    <w:rsid w:val="00B54A35"/>
    <w:rsid w:val="00B55799"/>
    <w:rsid w:val="00B56357"/>
    <w:rsid w:val="00B5674D"/>
    <w:rsid w:val="00B56A81"/>
    <w:rsid w:val="00B56B1E"/>
    <w:rsid w:val="00B56CE9"/>
    <w:rsid w:val="00B579CD"/>
    <w:rsid w:val="00B6140F"/>
    <w:rsid w:val="00B62458"/>
    <w:rsid w:val="00B624A2"/>
    <w:rsid w:val="00B62AD9"/>
    <w:rsid w:val="00B6366F"/>
    <w:rsid w:val="00B63D4E"/>
    <w:rsid w:val="00B6542C"/>
    <w:rsid w:val="00B73CA0"/>
    <w:rsid w:val="00B7420E"/>
    <w:rsid w:val="00B74677"/>
    <w:rsid w:val="00B74868"/>
    <w:rsid w:val="00B75216"/>
    <w:rsid w:val="00B755D3"/>
    <w:rsid w:val="00B8052E"/>
    <w:rsid w:val="00B8147C"/>
    <w:rsid w:val="00B837C2"/>
    <w:rsid w:val="00B84585"/>
    <w:rsid w:val="00B846E1"/>
    <w:rsid w:val="00B8564E"/>
    <w:rsid w:val="00B8727A"/>
    <w:rsid w:val="00B903AC"/>
    <w:rsid w:val="00B9055C"/>
    <w:rsid w:val="00B91EF0"/>
    <w:rsid w:val="00B92C30"/>
    <w:rsid w:val="00B92E1D"/>
    <w:rsid w:val="00B93664"/>
    <w:rsid w:val="00B940C0"/>
    <w:rsid w:val="00B94D24"/>
    <w:rsid w:val="00B963FA"/>
    <w:rsid w:val="00B973CA"/>
    <w:rsid w:val="00BA0409"/>
    <w:rsid w:val="00BA171E"/>
    <w:rsid w:val="00BA2BB9"/>
    <w:rsid w:val="00BA54FB"/>
    <w:rsid w:val="00BA55E4"/>
    <w:rsid w:val="00BA6B66"/>
    <w:rsid w:val="00BA6B81"/>
    <w:rsid w:val="00BA6BA3"/>
    <w:rsid w:val="00BA6DD5"/>
    <w:rsid w:val="00BB0591"/>
    <w:rsid w:val="00BB1B21"/>
    <w:rsid w:val="00BB236C"/>
    <w:rsid w:val="00BB4995"/>
    <w:rsid w:val="00BB67E8"/>
    <w:rsid w:val="00BB7126"/>
    <w:rsid w:val="00BB7EF7"/>
    <w:rsid w:val="00BC07EE"/>
    <w:rsid w:val="00BC0815"/>
    <w:rsid w:val="00BC0FAB"/>
    <w:rsid w:val="00BC1141"/>
    <w:rsid w:val="00BC2FC8"/>
    <w:rsid w:val="00BC3EF3"/>
    <w:rsid w:val="00BC48A9"/>
    <w:rsid w:val="00BC4F81"/>
    <w:rsid w:val="00BC5B16"/>
    <w:rsid w:val="00BC6A39"/>
    <w:rsid w:val="00BC7EAA"/>
    <w:rsid w:val="00BD0DD6"/>
    <w:rsid w:val="00BD1198"/>
    <w:rsid w:val="00BD3919"/>
    <w:rsid w:val="00BD4196"/>
    <w:rsid w:val="00BD4FFD"/>
    <w:rsid w:val="00BD52D8"/>
    <w:rsid w:val="00BD6003"/>
    <w:rsid w:val="00BD6479"/>
    <w:rsid w:val="00BE2934"/>
    <w:rsid w:val="00BE5D3D"/>
    <w:rsid w:val="00BE65FE"/>
    <w:rsid w:val="00BE6BE1"/>
    <w:rsid w:val="00BE6EF4"/>
    <w:rsid w:val="00BE7AB3"/>
    <w:rsid w:val="00BF25AA"/>
    <w:rsid w:val="00BF42EF"/>
    <w:rsid w:val="00BF4787"/>
    <w:rsid w:val="00BF48A7"/>
    <w:rsid w:val="00BF4B0D"/>
    <w:rsid w:val="00BF4DCD"/>
    <w:rsid w:val="00BF5DFB"/>
    <w:rsid w:val="00BF662C"/>
    <w:rsid w:val="00C009FB"/>
    <w:rsid w:val="00C0141F"/>
    <w:rsid w:val="00C0253D"/>
    <w:rsid w:val="00C02D88"/>
    <w:rsid w:val="00C037F1"/>
    <w:rsid w:val="00C03AB7"/>
    <w:rsid w:val="00C03C6F"/>
    <w:rsid w:val="00C047C1"/>
    <w:rsid w:val="00C05092"/>
    <w:rsid w:val="00C06415"/>
    <w:rsid w:val="00C06541"/>
    <w:rsid w:val="00C06D0E"/>
    <w:rsid w:val="00C06E2E"/>
    <w:rsid w:val="00C10909"/>
    <w:rsid w:val="00C10B70"/>
    <w:rsid w:val="00C1167B"/>
    <w:rsid w:val="00C144FB"/>
    <w:rsid w:val="00C153B3"/>
    <w:rsid w:val="00C20E5D"/>
    <w:rsid w:val="00C2184B"/>
    <w:rsid w:val="00C22496"/>
    <w:rsid w:val="00C242BE"/>
    <w:rsid w:val="00C248BB"/>
    <w:rsid w:val="00C24D31"/>
    <w:rsid w:val="00C25A4C"/>
    <w:rsid w:val="00C26C30"/>
    <w:rsid w:val="00C26D1E"/>
    <w:rsid w:val="00C2711F"/>
    <w:rsid w:val="00C27D9B"/>
    <w:rsid w:val="00C30784"/>
    <w:rsid w:val="00C31582"/>
    <w:rsid w:val="00C32F79"/>
    <w:rsid w:val="00C33342"/>
    <w:rsid w:val="00C356C2"/>
    <w:rsid w:val="00C35DF0"/>
    <w:rsid w:val="00C3648B"/>
    <w:rsid w:val="00C4046B"/>
    <w:rsid w:val="00C410B2"/>
    <w:rsid w:val="00C41A6F"/>
    <w:rsid w:val="00C42186"/>
    <w:rsid w:val="00C43A45"/>
    <w:rsid w:val="00C459FF"/>
    <w:rsid w:val="00C46148"/>
    <w:rsid w:val="00C472AA"/>
    <w:rsid w:val="00C50939"/>
    <w:rsid w:val="00C53C9E"/>
    <w:rsid w:val="00C61349"/>
    <w:rsid w:val="00C619A6"/>
    <w:rsid w:val="00C62AA8"/>
    <w:rsid w:val="00C6335A"/>
    <w:rsid w:val="00C63985"/>
    <w:rsid w:val="00C63B37"/>
    <w:rsid w:val="00C64ABD"/>
    <w:rsid w:val="00C6550A"/>
    <w:rsid w:val="00C67C12"/>
    <w:rsid w:val="00C710B4"/>
    <w:rsid w:val="00C7183C"/>
    <w:rsid w:val="00C72997"/>
    <w:rsid w:val="00C72ABF"/>
    <w:rsid w:val="00C72FEE"/>
    <w:rsid w:val="00C73510"/>
    <w:rsid w:val="00C73AA1"/>
    <w:rsid w:val="00C74333"/>
    <w:rsid w:val="00C756A4"/>
    <w:rsid w:val="00C77F4C"/>
    <w:rsid w:val="00C8049C"/>
    <w:rsid w:val="00C80A89"/>
    <w:rsid w:val="00C80CC7"/>
    <w:rsid w:val="00C84385"/>
    <w:rsid w:val="00C86132"/>
    <w:rsid w:val="00C903A8"/>
    <w:rsid w:val="00C90606"/>
    <w:rsid w:val="00C92975"/>
    <w:rsid w:val="00C93160"/>
    <w:rsid w:val="00C938FD"/>
    <w:rsid w:val="00C93B6E"/>
    <w:rsid w:val="00C94277"/>
    <w:rsid w:val="00C94463"/>
    <w:rsid w:val="00CA2D09"/>
    <w:rsid w:val="00CA2E5D"/>
    <w:rsid w:val="00CA636B"/>
    <w:rsid w:val="00CB4D9C"/>
    <w:rsid w:val="00CB6028"/>
    <w:rsid w:val="00CB7527"/>
    <w:rsid w:val="00CC032C"/>
    <w:rsid w:val="00CC0C3D"/>
    <w:rsid w:val="00CC1719"/>
    <w:rsid w:val="00CC3DC5"/>
    <w:rsid w:val="00CC6F90"/>
    <w:rsid w:val="00CD0929"/>
    <w:rsid w:val="00CD09F5"/>
    <w:rsid w:val="00CD0BCE"/>
    <w:rsid w:val="00CD35D0"/>
    <w:rsid w:val="00CD6325"/>
    <w:rsid w:val="00CD7A11"/>
    <w:rsid w:val="00CE2041"/>
    <w:rsid w:val="00CE2665"/>
    <w:rsid w:val="00CE2DCE"/>
    <w:rsid w:val="00CE625D"/>
    <w:rsid w:val="00CE6705"/>
    <w:rsid w:val="00CF1293"/>
    <w:rsid w:val="00CF14B1"/>
    <w:rsid w:val="00CF50F9"/>
    <w:rsid w:val="00CF6000"/>
    <w:rsid w:val="00D0161A"/>
    <w:rsid w:val="00D028D5"/>
    <w:rsid w:val="00D034D6"/>
    <w:rsid w:val="00D05490"/>
    <w:rsid w:val="00D05DEB"/>
    <w:rsid w:val="00D06E62"/>
    <w:rsid w:val="00D07035"/>
    <w:rsid w:val="00D0770E"/>
    <w:rsid w:val="00D07E6A"/>
    <w:rsid w:val="00D07E95"/>
    <w:rsid w:val="00D124B8"/>
    <w:rsid w:val="00D1425E"/>
    <w:rsid w:val="00D145E1"/>
    <w:rsid w:val="00D1462B"/>
    <w:rsid w:val="00D151F3"/>
    <w:rsid w:val="00D1545A"/>
    <w:rsid w:val="00D161DB"/>
    <w:rsid w:val="00D16A3C"/>
    <w:rsid w:val="00D16AF5"/>
    <w:rsid w:val="00D16EDD"/>
    <w:rsid w:val="00D17406"/>
    <w:rsid w:val="00D21E1B"/>
    <w:rsid w:val="00D236A8"/>
    <w:rsid w:val="00D23842"/>
    <w:rsid w:val="00D23B92"/>
    <w:rsid w:val="00D25154"/>
    <w:rsid w:val="00D251CA"/>
    <w:rsid w:val="00D26043"/>
    <w:rsid w:val="00D31426"/>
    <w:rsid w:val="00D31E59"/>
    <w:rsid w:val="00D32A74"/>
    <w:rsid w:val="00D34E27"/>
    <w:rsid w:val="00D41870"/>
    <w:rsid w:val="00D42C09"/>
    <w:rsid w:val="00D4362D"/>
    <w:rsid w:val="00D44E75"/>
    <w:rsid w:val="00D4527C"/>
    <w:rsid w:val="00D45F24"/>
    <w:rsid w:val="00D45FA6"/>
    <w:rsid w:val="00D4628D"/>
    <w:rsid w:val="00D462A2"/>
    <w:rsid w:val="00D4643B"/>
    <w:rsid w:val="00D4753A"/>
    <w:rsid w:val="00D47A32"/>
    <w:rsid w:val="00D51290"/>
    <w:rsid w:val="00D53A7D"/>
    <w:rsid w:val="00D53FC6"/>
    <w:rsid w:val="00D559AB"/>
    <w:rsid w:val="00D56AE6"/>
    <w:rsid w:val="00D56EA7"/>
    <w:rsid w:val="00D56EA8"/>
    <w:rsid w:val="00D60060"/>
    <w:rsid w:val="00D60673"/>
    <w:rsid w:val="00D60E94"/>
    <w:rsid w:val="00D61289"/>
    <w:rsid w:val="00D6152B"/>
    <w:rsid w:val="00D62EEF"/>
    <w:rsid w:val="00D64C15"/>
    <w:rsid w:val="00D653F8"/>
    <w:rsid w:val="00D664DA"/>
    <w:rsid w:val="00D70830"/>
    <w:rsid w:val="00D72F50"/>
    <w:rsid w:val="00D73D4D"/>
    <w:rsid w:val="00D74CAC"/>
    <w:rsid w:val="00D763BE"/>
    <w:rsid w:val="00D768E4"/>
    <w:rsid w:val="00D76908"/>
    <w:rsid w:val="00D76AB5"/>
    <w:rsid w:val="00D77021"/>
    <w:rsid w:val="00D82001"/>
    <w:rsid w:val="00D821BE"/>
    <w:rsid w:val="00D8388D"/>
    <w:rsid w:val="00D83AF7"/>
    <w:rsid w:val="00D8718D"/>
    <w:rsid w:val="00D9050D"/>
    <w:rsid w:val="00D910E4"/>
    <w:rsid w:val="00D91798"/>
    <w:rsid w:val="00D91D56"/>
    <w:rsid w:val="00D9229B"/>
    <w:rsid w:val="00D92A45"/>
    <w:rsid w:val="00D934C6"/>
    <w:rsid w:val="00D93587"/>
    <w:rsid w:val="00D93FCC"/>
    <w:rsid w:val="00D94052"/>
    <w:rsid w:val="00D943D1"/>
    <w:rsid w:val="00D95781"/>
    <w:rsid w:val="00D96A13"/>
    <w:rsid w:val="00DA05DB"/>
    <w:rsid w:val="00DA36C7"/>
    <w:rsid w:val="00DA3894"/>
    <w:rsid w:val="00DA4FFC"/>
    <w:rsid w:val="00DA5555"/>
    <w:rsid w:val="00DA70CF"/>
    <w:rsid w:val="00DB21AE"/>
    <w:rsid w:val="00DB3C25"/>
    <w:rsid w:val="00DB48D5"/>
    <w:rsid w:val="00DB5F87"/>
    <w:rsid w:val="00DB7353"/>
    <w:rsid w:val="00DB7473"/>
    <w:rsid w:val="00DC09D4"/>
    <w:rsid w:val="00DC161C"/>
    <w:rsid w:val="00DC1D1A"/>
    <w:rsid w:val="00DC3311"/>
    <w:rsid w:val="00DC559D"/>
    <w:rsid w:val="00DC60BD"/>
    <w:rsid w:val="00DC71CB"/>
    <w:rsid w:val="00DD14D7"/>
    <w:rsid w:val="00DD183D"/>
    <w:rsid w:val="00DD44B3"/>
    <w:rsid w:val="00DD5953"/>
    <w:rsid w:val="00DD66E5"/>
    <w:rsid w:val="00DD7187"/>
    <w:rsid w:val="00DD73A7"/>
    <w:rsid w:val="00DD7C48"/>
    <w:rsid w:val="00DD7C6B"/>
    <w:rsid w:val="00DE008D"/>
    <w:rsid w:val="00DE12FB"/>
    <w:rsid w:val="00DE19E9"/>
    <w:rsid w:val="00DE257B"/>
    <w:rsid w:val="00DE3181"/>
    <w:rsid w:val="00DE4668"/>
    <w:rsid w:val="00DE5ACD"/>
    <w:rsid w:val="00DE661A"/>
    <w:rsid w:val="00DE7823"/>
    <w:rsid w:val="00DF14A0"/>
    <w:rsid w:val="00DF150D"/>
    <w:rsid w:val="00DF30EB"/>
    <w:rsid w:val="00DF358A"/>
    <w:rsid w:val="00DF6DB2"/>
    <w:rsid w:val="00DF7B85"/>
    <w:rsid w:val="00DF7BA5"/>
    <w:rsid w:val="00E00437"/>
    <w:rsid w:val="00E007D3"/>
    <w:rsid w:val="00E01E49"/>
    <w:rsid w:val="00E04908"/>
    <w:rsid w:val="00E04A41"/>
    <w:rsid w:val="00E0612F"/>
    <w:rsid w:val="00E0618A"/>
    <w:rsid w:val="00E06ECF"/>
    <w:rsid w:val="00E07A5E"/>
    <w:rsid w:val="00E10A6B"/>
    <w:rsid w:val="00E15196"/>
    <w:rsid w:val="00E15A6E"/>
    <w:rsid w:val="00E15C5F"/>
    <w:rsid w:val="00E16194"/>
    <w:rsid w:val="00E2031B"/>
    <w:rsid w:val="00E20A4C"/>
    <w:rsid w:val="00E21C5C"/>
    <w:rsid w:val="00E250D0"/>
    <w:rsid w:val="00E25B7F"/>
    <w:rsid w:val="00E27FD8"/>
    <w:rsid w:val="00E30B3A"/>
    <w:rsid w:val="00E3377C"/>
    <w:rsid w:val="00E33853"/>
    <w:rsid w:val="00E34F12"/>
    <w:rsid w:val="00E36010"/>
    <w:rsid w:val="00E37007"/>
    <w:rsid w:val="00E41465"/>
    <w:rsid w:val="00E42014"/>
    <w:rsid w:val="00E42143"/>
    <w:rsid w:val="00E42C0F"/>
    <w:rsid w:val="00E43E09"/>
    <w:rsid w:val="00E44611"/>
    <w:rsid w:val="00E44B2F"/>
    <w:rsid w:val="00E44E15"/>
    <w:rsid w:val="00E452B2"/>
    <w:rsid w:val="00E46370"/>
    <w:rsid w:val="00E47088"/>
    <w:rsid w:val="00E505DF"/>
    <w:rsid w:val="00E5087C"/>
    <w:rsid w:val="00E516E3"/>
    <w:rsid w:val="00E52396"/>
    <w:rsid w:val="00E5280F"/>
    <w:rsid w:val="00E5435C"/>
    <w:rsid w:val="00E54BA5"/>
    <w:rsid w:val="00E54EC7"/>
    <w:rsid w:val="00E55715"/>
    <w:rsid w:val="00E564CE"/>
    <w:rsid w:val="00E56673"/>
    <w:rsid w:val="00E571FB"/>
    <w:rsid w:val="00E572EB"/>
    <w:rsid w:val="00E57AFF"/>
    <w:rsid w:val="00E600ED"/>
    <w:rsid w:val="00E602FA"/>
    <w:rsid w:val="00E60B30"/>
    <w:rsid w:val="00E62E2F"/>
    <w:rsid w:val="00E6341D"/>
    <w:rsid w:val="00E63498"/>
    <w:rsid w:val="00E64B48"/>
    <w:rsid w:val="00E650B9"/>
    <w:rsid w:val="00E67442"/>
    <w:rsid w:val="00E70537"/>
    <w:rsid w:val="00E71648"/>
    <w:rsid w:val="00E71831"/>
    <w:rsid w:val="00E7245C"/>
    <w:rsid w:val="00E72AE2"/>
    <w:rsid w:val="00E741AD"/>
    <w:rsid w:val="00E7790E"/>
    <w:rsid w:val="00E77F00"/>
    <w:rsid w:val="00E80A40"/>
    <w:rsid w:val="00E80FEE"/>
    <w:rsid w:val="00E8149D"/>
    <w:rsid w:val="00E815A0"/>
    <w:rsid w:val="00E81A4F"/>
    <w:rsid w:val="00E81A8C"/>
    <w:rsid w:val="00E821D5"/>
    <w:rsid w:val="00E8289E"/>
    <w:rsid w:val="00E82BAE"/>
    <w:rsid w:val="00E830BA"/>
    <w:rsid w:val="00E84CF5"/>
    <w:rsid w:val="00E906BF"/>
    <w:rsid w:val="00E90C51"/>
    <w:rsid w:val="00E91268"/>
    <w:rsid w:val="00E915BD"/>
    <w:rsid w:val="00E93F25"/>
    <w:rsid w:val="00E94540"/>
    <w:rsid w:val="00E959E3"/>
    <w:rsid w:val="00E95B62"/>
    <w:rsid w:val="00E965EF"/>
    <w:rsid w:val="00E96AF1"/>
    <w:rsid w:val="00E96CC0"/>
    <w:rsid w:val="00E973A5"/>
    <w:rsid w:val="00EA019F"/>
    <w:rsid w:val="00EA0D2F"/>
    <w:rsid w:val="00EA1EF7"/>
    <w:rsid w:val="00EA21C3"/>
    <w:rsid w:val="00EA2E72"/>
    <w:rsid w:val="00EA64A4"/>
    <w:rsid w:val="00EB1406"/>
    <w:rsid w:val="00EB473B"/>
    <w:rsid w:val="00EB48CC"/>
    <w:rsid w:val="00EB4F49"/>
    <w:rsid w:val="00EB5017"/>
    <w:rsid w:val="00EB50C1"/>
    <w:rsid w:val="00EB5BD8"/>
    <w:rsid w:val="00EB7398"/>
    <w:rsid w:val="00EC0334"/>
    <w:rsid w:val="00EC0956"/>
    <w:rsid w:val="00EC16C9"/>
    <w:rsid w:val="00EC17A0"/>
    <w:rsid w:val="00EC1A8C"/>
    <w:rsid w:val="00EC33E3"/>
    <w:rsid w:val="00EC35DD"/>
    <w:rsid w:val="00EC4F99"/>
    <w:rsid w:val="00ED02EC"/>
    <w:rsid w:val="00ED0374"/>
    <w:rsid w:val="00ED10D9"/>
    <w:rsid w:val="00ED2F0D"/>
    <w:rsid w:val="00ED3892"/>
    <w:rsid w:val="00ED3DFC"/>
    <w:rsid w:val="00ED4310"/>
    <w:rsid w:val="00ED5B4E"/>
    <w:rsid w:val="00EE0A3E"/>
    <w:rsid w:val="00EE13F0"/>
    <w:rsid w:val="00EE2A95"/>
    <w:rsid w:val="00EE387D"/>
    <w:rsid w:val="00EE39C9"/>
    <w:rsid w:val="00EE3DD3"/>
    <w:rsid w:val="00EE41CA"/>
    <w:rsid w:val="00EE6856"/>
    <w:rsid w:val="00EF0009"/>
    <w:rsid w:val="00EF1001"/>
    <w:rsid w:val="00EF1468"/>
    <w:rsid w:val="00EF1CCA"/>
    <w:rsid w:val="00EF1FF0"/>
    <w:rsid w:val="00EF2160"/>
    <w:rsid w:val="00EF229A"/>
    <w:rsid w:val="00EF2890"/>
    <w:rsid w:val="00EF4196"/>
    <w:rsid w:val="00EF5063"/>
    <w:rsid w:val="00EF7CFC"/>
    <w:rsid w:val="00F002EB"/>
    <w:rsid w:val="00F018E2"/>
    <w:rsid w:val="00F01957"/>
    <w:rsid w:val="00F02F14"/>
    <w:rsid w:val="00F03CD3"/>
    <w:rsid w:val="00F04481"/>
    <w:rsid w:val="00F04B40"/>
    <w:rsid w:val="00F0557C"/>
    <w:rsid w:val="00F066CB"/>
    <w:rsid w:val="00F0671C"/>
    <w:rsid w:val="00F06C2A"/>
    <w:rsid w:val="00F071B7"/>
    <w:rsid w:val="00F10FFA"/>
    <w:rsid w:val="00F11091"/>
    <w:rsid w:val="00F114DD"/>
    <w:rsid w:val="00F12877"/>
    <w:rsid w:val="00F1292B"/>
    <w:rsid w:val="00F2120A"/>
    <w:rsid w:val="00F23166"/>
    <w:rsid w:val="00F23298"/>
    <w:rsid w:val="00F23D24"/>
    <w:rsid w:val="00F23F52"/>
    <w:rsid w:val="00F26625"/>
    <w:rsid w:val="00F31214"/>
    <w:rsid w:val="00F323E3"/>
    <w:rsid w:val="00F3384A"/>
    <w:rsid w:val="00F41C97"/>
    <w:rsid w:val="00F432ED"/>
    <w:rsid w:val="00F451E3"/>
    <w:rsid w:val="00F458AD"/>
    <w:rsid w:val="00F46B5D"/>
    <w:rsid w:val="00F50F0A"/>
    <w:rsid w:val="00F51AF3"/>
    <w:rsid w:val="00F51BF8"/>
    <w:rsid w:val="00F54054"/>
    <w:rsid w:val="00F54538"/>
    <w:rsid w:val="00F553F8"/>
    <w:rsid w:val="00F554C2"/>
    <w:rsid w:val="00F55A0A"/>
    <w:rsid w:val="00F57BD9"/>
    <w:rsid w:val="00F6088C"/>
    <w:rsid w:val="00F610DC"/>
    <w:rsid w:val="00F6115A"/>
    <w:rsid w:val="00F625F2"/>
    <w:rsid w:val="00F657F4"/>
    <w:rsid w:val="00F66F5D"/>
    <w:rsid w:val="00F67693"/>
    <w:rsid w:val="00F70330"/>
    <w:rsid w:val="00F71FD8"/>
    <w:rsid w:val="00F72C0C"/>
    <w:rsid w:val="00F73536"/>
    <w:rsid w:val="00F74950"/>
    <w:rsid w:val="00F74B14"/>
    <w:rsid w:val="00F75A6F"/>
    <w:rsid w:val="00F763C1"/>
    <w:rsid w:val="00F80125"/>
    <w:rsid w:val="00F80BEA"/>
    <w:rsid w:val="00F814CA"/>
    <w:rsid w:val="00F820C9"/>
    <w:rsid w:val="00F83200"/>
    <w:rsid w:val="00F833A7"/>
    <w:rsid w:val="00F846E6"/>
    <w:rsid w:val="00F84C58"/>
    <w:rsid w:val="00F86641"/>
    <w:rsid w:val="00F871B9"/>
    <w:rsid w:val="00F87EE5"/>
    <w:rsid w:val="00F9225E"/>
    <w:rsid w:val="00F92A2E"/>
    <w:rsid w:val="00F939DF"/>
    <w:rsid w:val="00F94BAE"/>
    <w:rsid w:val="00F95348"/>
    <w:rsid w:val="00F963D1"/>
    <w:rsid w:val="00FA2BCD"/>
    <w:rsid w:val="00FA2E7B"/>
    <w:rsid w:val="00FA5984"/>
    <w:rsid w:val="00FA60A4"/>
    <w:rsid w:val="00FA671F"/>
    <w:rsid w:val="00FA6AFB"/>
    <w:rsid w:val="00FB0211"/>
    <w:rsid w:val="00FB0E10"/>
    <w:rsid w:val="00FB1105"/>
    <w:rsid w:val="00FB11FF"/>
    <w:rsid w:val="00FB16D7"/>
    <w:rsid w:val="00FB243A"/>
    <w:rsid w:val="00FB3FD4"/>
    <w:rsid w:val="00FB5582"/>
    <w:rsid w:val="00FB5C04"/>
    <w:rsid w:val="00FB6384"/>
    <w:rsid w:val="00FC047E"/>
    <w:rsid w:val="00FC0747"/>
    <w:rsid w:val="00FC0DCF"/>
    <w:rsid w:val="00FC0E90"/>
    <w:rsid w:val="00FC2694"/>
    <w:rsid w:val="00FC29BB"/>
    <w:rsid w:val="00FC4088"/>
    <w:rsid w:val="00FC57BF"/>
    <w:rsid w:val="00FC61F5"/>
    <w:rsid w:val="00FC7D33"/>
    <w:rsid w:val="00FD0498"/>
    <w:rsid w:val="00FD09B0"/>
    <w:rsid w:val="00FD0FF0"/>
    <w:rsid w:val="00FD17DD"/>
    <w:rsid w:val="00FD28E0"/>
    <w:rsid w:val="00FD2B12"/>
    <w:rsid w:val="00FD3246"/>
    <w:rsid w:val="00FD325B"/>
    <w:rsid w:val="00FD3909"/>
    <w:rsid w:val="00FD41B9"/>
    <w:rsid w:val="00FD4859"/>
    <w:rsid w:val="00FD4FE6"/>
    <w:rsid w:val="00FD6502"/>
    <w:rsid w:val="00FE2167"/>
    <w:rsid w:val="00FE2879"/>
    <w:rsid w:val="00FE3354"/>
    <w:rsid w:val="00FE38B0"/>
    <w:rsid w:val="00FE3905"/>
    <w:rsid w:val="00FE4406"/>
    <w:rsid w:val="00FE4613"/>
    <w:rsid w:val="00FE48DD"/>
    <w:rsid w:val="00FF01B3"/>
    <w:rsid w:val="00FF16A6"/>
    <w:rsid w:val="00FF2492"/>
    <w:rsid w:val="00FF2679"/>
    <w:rsid w:val="00FF3B72"/>
    <w:rsid w:val="00FF4716"/>
    <w:rsid w:val="00FF5044"/>
    <w:rsid w:val="00FF5893"/>
    <w:rsid w:val="00FF6190"/>
    <w:rsid w:val="00FF63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F8D1B"/>
  <w15:chartTrackingRefBased/>
  <w15:docId w15:val="{B11169EF-00B0-41DA-906B-D7F916B5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42A"/>
    <w:rPr>
      <w:rFonts w:ascii="Arial" w:hAnsi="Arial"/>
      <w:sz w:val="24"/>
    </w:rPr>
  </w:style>
  <w:style w:type="paragraph" w:styleId="Heading1">
    <w:name w:val="heading 1"/>
    <w:basedOn w:val="Normal"/>
    <w:next w:val="Normal"/>
    <w:link w:val="Heading1Char"/>
    <w:uiPriority w:val="9"/>
    <w:qFormat/>
    <w:rsid w:val="00DF7B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545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Table Header"/>
    <w:basedOn w:val="Normal"/>
    <w:next w:val="Normal"/>
    <w:link w:val="Heading3Char"/>
    <w:uiPriority w:val="9"/>
    <w:unhideWhenUsed/>
    <w:qFormat/>
    <w:rsid w:val="0033338F"/>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3487B"/>
    <w:pPr>
      <w:keepNext/>
      <w:keepLines/>
      <w:spacing w:before="40" w:after="0"/>
      <w:outlineLvl w:val="3"/>
    </w:pPr>
    <w:rPr>
      <w:rFonts w:asciiTheme="majorHAnsi" w:eastAsiaTheme="majorEastAsia" w:hAnsiTheme="majorHAnsi" w:cstheme="majorBidi"/>
      <w:i/>
      <w:iCs/>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5645"/>
    <w:pPr>
      <w:ind w:left="720"/>
      <w:contextualSpacing/>
    </w:pPr>
  </w:style>
  <w:style w:type="paragraph" w:customStyle="1" w:styleId="Default">
    <w:name w:val="Default"/>
    <w:rsid w:val="00B008F2"/>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312BD1"/>
    <w:pPr>
      <w:spacing w:after="200" w:line="240" w:lineRule="auto"/>
    </w:pPr>
    <w:rPr>
      <w:sz w:val="20"/>
      <w:szCs w:val="20"/>
    </w:rPr>
  </w:style>
  <w:style w:type="character" w:customStyle="1" w:styleId="CommentTextChar">
    <w:name w:val="Comment Text Char"/>
    <w:basedOn w:val="DefaultParagraphFont"/>
    <w:link w:val="CommentText"/>
    <w:uiPriority w:val="99"/>
    <w:rsid w:val="00312BD1"/>
    <w:rPr>
      <w:sz w:val="20"/>
      <w:szCs w:val="20"/>
    </w:rPr>
  </w:style>
  <w:style w:type="table" w:styleId="TableGrid">
    <w:name w:val="Table Grid"/>
    <w:basedOn w:val="TableNormal"/>
    <w:uiPriority w:val="39"/>
    <w:rsid w:val="00192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7BA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F7BA5"/>
    <w:pPr>
      <w:outlineLvl w:val="9"/>
    </w:pPr>
    <w:rPr>
      <w:rFonts w:ascii="Arial" w:hAnsi="Arial"/>
      <w:lang w:val="en-US"/>
    </w:rPr>
  </w:style>
  <w:style w:type="character" w:customStyle="1" w:styleId="ListParagraphChar">
    <w:name w:val="List Paragraph Char"/>
    <w:basedOn w:val="DefaultParagraphFont"/>
    <w:link w:val="ListParagraph"/>
    <w:uiPriority w:val="34"/>
    <w:rsid w:val="00165EEA"/>
  </w:style>
  <w:style w:type="character" w:styleId="CommentReference">
    <w:name w:val="annotation reference"/>
    <w:basedOn w:val="DefaultParagraphFont"/>
    <w:uiPriority w:val="99"/>
    <w:semiHidden/>
    <w:unhideWhenUsed/>
    <w:rsid w:val="0067602F"/>
    <w:rPr>
      <w:sz w:val="16"/>
      <w:szCs w:val="16"/>
    </w:rPr>
  </w:style>
  <w:style w:type="paragraph" w:styleId="CommentSubject">
    <w:name w:val="annotation subject"/>
    <w:basedOn w:val="CommentText"/>
    <w:next w:val="CommentText"/>
    <w:link w:val="CommentSubjectChar"/>
    <w:uiPriority w:val="99"/>
    <w:semiHidden/>
    <w:unhideWhenUsed/>
    <w:rsid w:val="0067602F"/>
    <w:pPr>
      <w:spacing w:after="160"/>
    </w:pPr>
    <w:rPr>
      <w:b/>
      <w:bCs/>
    </w:rPr>
  </w:style>
  <w:style w:type="character" w:customStyle="1" w:styleId="CommentSubjectChar">
    <w:name w:val="Comment Subject Char"/>
    <w:basedOn w:val="CommentTextChar"/>
    <w:link w:val="CommentSubject"/>
    <w:uiPriority w:val="99"/>
    <w:semiHidden/>
    <w:rsid w:val="0067602F"/>
    <w:rPr>
      <w:b/>
      <w:bCs/>
      <w:sz w:val="20"/>
      <w:szCs w:val="20"/>
    </w:rPr>
  </w:style>
  <w:style w:type="paragraph" w:styleId="BalloonText">
    <w:name w:val="Balloon Text"/>
    <w:basedOn w:val="Normal"/>
    <w:link w:val="BalloonTextChar"/>
    <w:uiPriority w:val="99"/>
    <w:semiHidden/>
    <w:unhideWhenUsed/>
    <w:rsid w:val="00676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02F"/>
    <w:rPr>
      <w:rFonts w:ascii="Segoe UI" w:hAnsi="Segoe UI" w:cs="Segoe UI"/>
      <w:sz w:val="18"/>
      <w:szCs w:val="18"/>
    </w:rPr>
  </w:style>
  <w:style w:type="paragraph" w:customStyle="1" w:styleId="bulletedlist">
    <w:name w:val="bulleted list"/>
    <w:basedOn w:val="ListParagraph"/>
    <w:link w:val="bulletedlistChar"/>
    <w:qFormat/>
    <w:rsid w:val="00674F17"/>
    <w:pPr>
      <w:spacing w:after="0" w:line="360" w:lineRule="auto"/>
      <w:ind w:left="0"/>
      <w:jc w:val="both"/>
    </w:pPr>
    <w:rPr>
      <w:rFonts w:eastAsia="Times New Roman" w:cs="Times New Roman"/>
      <w:lang w:eastAsia="en-GB" w:bidi="en-US"/>
    </w:rPr>
  </w:style>
  <w:style w:type="character" w:customStyle="1" w:styleId="bulletedlistChar">
    <w:name w:val="bulleted list Char"/>
    <w:basedOn w:val="DefaultParagraphFont"/>
    <w:link w:val="bulletedlist"/>
    <w:rsid w:val="00674F17"/>
    <w:rPr>
      <w:rFonts w:ascii="Arial" w:eastAsia="Times New Roman" w:hAnsi="Arial" w:cs="Times New Roman"/>
      <w:sz w:val="24"/>
      <w:lang w:eastAsia="en-GB" w:bidi="en-US"/>
    </w:rPr>
  </w:style>
  <w:style w:type="character" w:styleId="PlaceholderText">
    <w:name w:val="Placeholder Text"/>
    <w:basedOn w:val="DefaultParagraphFont"/>
    <w:uiPriority w:val="99"/>
    <w:semiHidden/>
    <w:rsid w:val="00135418"/>
    <w:rPr>
      <w:color w:val="808080"/>
    </w:rPr>
  </w:style>
  <w:style w:type="paragraph" w:styleId="Header">
    <w:name w:val="header"/>
    <w:basedOn w:val="Normal"/>
    <w:link w:val="HeaderChar"/>
    <w:uiPriority w:val="99"/>
    <w:unhideWhenUsed/>
    <w:rsid w:val="00B15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5A6"/>
  </w:style>
  <w:style w:type="paragraph" w:styleId="Footer">
    <w:name w:val="footer"/>
    <w:basedOn w:val="Normal"/>
    <w:link w:val="FooterChar"/>
    <w:uiPriority w:val="99"/>
    <w:unhideWhenUsed/>
    <w:rsid w:val="00B15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5A6"/>
  </w:style>
  <w:style w:type="character" w:customStyle="1" w:styleId="Heading3Char">
    <w:name w:val="Heading 3 Char"/>
    <w:aliases w:val="Table Header Char"/>
    <w:basedOn w:val="DefaultParagraphFont"/>
    <w:link w:val="Heading3"/>
    <w:uiPriority w:val="9"/>
    <w:rsid w:val="0033338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3338F"/>
    <w:rPr>
      <w:color w:val="0563C1" w:themeColor="hyperlink"/>
      <w:u w:val="single"/>
    </w:rPr>
  </w:style>
  <w:style w:type="table" w:customStyle="1" w:styleId="LightShading-Accent11">
    <w:name w:val="Light Shading - Accent 11"/>
    <w:basedOn w:val="TableNormal"/>
    <w:uiPriority w:val="60"/>
    <w:rsid w:val="00C63985"/>
    <w:pPr>
      <w:widowControl w:val="0"/>
      <w:autoSpaceDE w:val="0"/>
      <w:autoSpaceDN w:val="0"/>
      <w:spacing w:after="0" w:line="240" w:lineRule="auto"/>
    </w:pPr>
    <w:rPr>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Light">
    <w:name w:val="Grid Table Light"/>
    <w:basedOn w:val="TableNormal"/>
    <w:uiPriority w:val="40"/>
    <w:rsid w:val="00C6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C639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63985"/>
    <w:pPr>
      <w:spacing w:after="200" w:line="240" w:lineRule="auto"/>
    </w:pPr>
    <w:rPr>
      <w:i/>
      <w:iCs/>
      <w:color w:val="44546A" w:themeColor="text2"/>
      <w:sz w:val="18"/>
      <w:szCs w:val="18"/>
    </w:rPr>
  </w:style>
  <w:style w:type="paragraph" w:customStyle="1" w:styleId="TOCheading2">
    <w:name w:val="TOC heading 2"/>
    <w:basedOn w:val="TOCHeading"/>
    <w:qFormat/>
    <w:rsid w:val="005D6F8B"/>
    <w:pPr>
      <w:numPr>
        <w:numId w:val="1"/>
      </w:numPr>
    </w:pPr>
  </w:style>
  <w:style w:type="paragraph" w:customStyle="1" w:styleId="TOCheading3">
    <w:name w:val="TOC heading 3"/>
    <w:basedOn w:val="TOCheading2"/>
    <w:qFormat/>
    <w:rsid w:val="00FA2E7B"/>
    <w:pPr>
      <w:numPr>
        <w:ilvl w:val="1"/>
      </w:numPr>
    </w:pPr>
    <w:rPr>
      <w:sz w:val="28"/>
    </w:rPr>
  </w:style>
  <w:style w:type="paragraph" w:customStyle="1" w:styleId="TOCheading4">
    <w:name w:val="TOC heading 4"/>
    <w:basedOn w:val="TOCheading3"/>
    <w:qFormat/>
    <w:rsid w:val="00AC6831"/>
    <w:pPr>
      <w:numPr>
        <w:ilvl w:val="2"/>
      </w:numPr>
    </w:pPr>
    <w:rPr>
      <w:sz w:val="24"/>
    </w:rPr>
  </w:style>
  <w:style w:type="paragraph" w:styleId="TOC2">
    <w:name w:val="toc 2"/>
    <w:basedOn w:val="Normal"/>
    <w:next w:val="Normal"/>
    <w:autoRedefine/>
    <w:uiPriority w:val="39"/>
    <w:unhideWhenUsed/>
    <w:rsid w:val="00F54538"/>
    <w:pPr>
      <w:spacing w:before="120" w:after="0"/>
      <w:ind w:left="220"/>
    </w:pPr>
    <w:rPr>
      <w:rFonts w:cstheme="minorHAnsi"/>
      <w:i/>
      <w:iCs/>
      <w:sz w:val="20"/>
      <w:szCs w:val="20"/>
    </w:rPr>
  </w:style>
  <w:style w:type="paragraph" w:styleId="TOC1">
    <w:name w:val="toc 1"/>
    <w:basedOn w:val="Normal"/>
    <w:next w:val="Normal"/>
    <w:autoRedefine/>
    <w:uiPriority w:val="39"/>
    <w:unhideWhenUsed/>
    <w:rsid w:val="00AC6831"/>
    <w:pPr>
      <w:spacing w:before="240" w:after="120"/>
    </w:pPr>
    <w:rPr>
      <w:rFonts w:cstheme="minorHAnsi"/>
      <w:b/>
      <w:bCs/>
      <w:sz w:val="20"/>
      <w:szCs w:val="20"/>
    </w:rPr>
  </w:style>
  <w:style w:type="paragraph" w:styleId="TOC3">
    <w:name w:val="toc 3"/>
    <w:basedOn w:val="Normal"/>
    <w:next w:val="Normal"/>
    <w:autoRedefine/>
    <w:uiPriority w:val="39"/>
    <w:unhideWhenUsed/>
    <w:rsid w:val="00F54538"/>
    <w:pPr>
      <w:spacing w:after="0"/>
      <w:ind w:left="440"/>
    </w:pPr>
    <w:rPr>
      <w:rFonts w:cstheme="minorHAnsi"/>
      <w:sz w:val="20"/>
      <w:szCs w:val="20"/>
    </w:rPr>
  </w:style>
  <w:style w:type="paragraph" w:styleId="TOC4">
    <w:name w:val="toc 4"/>
    <w:basedOn w:val="Normal"/>
    <w:next w:val="Normal"/>
    <w:autoRedefine/>
    <w:uiPriority w:val="39"/>
    <w:unhideWhenUsed/>
    <w:rsid w:val="00F54538"/>
    <w:pPr>
      <w:spacing w:after="0"/>
      <w:ind w:left="660"/>
    </w:pPr>
    <w:rPr>
      <w:rFonts w:cstheme="minorHAnsi"/>
      <w:sz w:val="20"/>
      <w:szCs w:val="20"/>
    </w:rPr>
  </w:style>
  <w:style w:type="paragraph" w:styleId="TOC5">
    <w:name w:val="toc 5"/>
    <w:basedOn w:val="Normal"/>
    <w:next w:val="Normal"/>
    <w:autoRedefine/>
    <w:uiPriority w:val="39"/>
    <w:unhideWhenUsed/>
    <w:rsid w:val="00F54538"/>
    <w:pPr>
      <w:spacing w:after="0"/>
      <w:ind w:left="880"/>
    </w:pPr>
    <w:rPr>
      <w:rFonts w:cstheme="minorHAnsi"/>
      <w:sz w:val="20"/>
      <w:szCs w:val="20"/>
    </w:rPr>
  </w:style>
  <w:style w:type="paragraph" w:styleId="TOC6">
    <w:name w:val="toc 6"/>
    <w:basedOn w:val="Normal"/>
    <w:next w:val="Normal"/>
    <w:autoRedefine/>
    <w:uiPriority w:val="39"/>
    <w:unhideWhenUsed/>
    <w:rsid w:val="00F54538"/>
    <w:pPr>
      <w:spacing w:after="0"/>
      <w:ind w:left="1100"/>
    </w:pPr>
    <w:rPr>
      <w:rFonts w:cstheme="minorHAnsi"/>
      <w:sz w:val="20"/>
      <w:szCs w:val="20"/>
    </w:rPr>
  </w:style>
  <w:style w:type="paragraph" w:styleId="TOC7">
    <w:name w:val="toc 7"/>
    <w:basedOn w:val="Normal"/>
    <w:next w:val="Normal"/>
    <w:autoRedefine/>
    <w:uiPriority w:val="39"/>
    <w:unhideWhenUsed/>
    <w:rsid w:val="00F54538"/>
    <w:pPr>
      <w:spacing w:after="0"/>
      <w:ind w:left="1320"/>
    </w:pPr>
    <w:rPr>
      <w:rFonts w:cstheme="minorHAnsi"/>
      <w:sz w:val="20"/>
      <w:szCs w:val="20"/>
    </w:rPr>
  </w:style>
  <w:style w:type="paragraph" w:styleId="TOC8">
    <w:name w:val="toc 8"/>
    <w:basedOn w:val="Normal"/>
    <w:next w:val="Normal"/>
    <w:autoRedefine/>
    <w:uiPriority w:val="39"/>
    <w:unhideWhenUsed/>
    <w:rsid w:val="00F54538"/>
    <w:pPr>
      <w:spacing w:after="0"/>
      <w:ind w:left="1540"/>
    </w:pPr>
    <w:rPr>
      <w:rFonts w:cstheme="minorHAnsi"/>
      <w:sz w:val="20"/>
      <w:szCs w:val="20"/>
    </w:rPr>
  </w:style>
  <w:style w:type="paragraph" w:styleId="TOC9">
    <w:name w:val="toc 9"/>
    <w:basedOn w:val="Normal"/>
    <w:next w:val="Normal"/>
    <w:autoRedefine/>
    <w:uiPriority w:val="39"/>
    <w:unhideWhenUsed/>
    <w:rsid w:val="00F54538"/>
    <w:pPr>
      <w:spacing w:after="0"/>
      <w:ind w:left="1760"/>
    </w:pPr>
    <w:rPr>
      <w:rFonts w:cstheme="minorHAnsi"/>
      <w:sz w:val="20"/>
      <w:szCs w:val="20"/>
    </w:rPr>
  </w:style>
  <w:style w:type="character" w:customStyle="1" w:styleId="Heading2Char">
    <w:name w:val="Heading 2 Char"/>
    <w:basedOn w:val="DefaultParagraphFont"/>
    <w:link w:val="Heading2"/>
    <w:uiPriority w:val="9"/>
    <w:semiHidden/>
    <w:rsid w:val="00F54538"/>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9B6740"/>
    <w:rPr>
      <w:color w:val="605E5C"/>
      <w:shd w:val="clear" w:color="auto" w:fill="E1DFDD"/>
    </w:rPr>
  </w:style>
  <w:style w:type="paragraph" w:styleId="NormalWeb">
    <w:name w:val="Normal (Web)"/>
    <w:basedOn w:val="Normal"/>
    <w:uiPriority w:val="99"/>
    <w:unhideWhenUsed/>
    <w:rsid w:val="001833E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1833E0"/>
    <w:rPr>
      <w:b/>
      <w:bCs/>
    </w:rPr>
  </w:style>
  <w:style w:type="paragraph" w:customStyle="1" w:styleId="PHEBodycopy">
    <w:name w:val="PHE Body copy"/>
    <w:basedOn w:val="Normal"/>
    <w:rsid w:val="00E57AFF"/>
    <w:pPr>
      <w:spacing w:after="0" w:line="320" w:lineRule="atLeast"/>
      <w:ind w:right="794"/>
    </w:pPr>
    <w:rPr>
      <w:rFonts w:eastAsia="Times New Roman" w:cs="Times New Roman"/>
      <w:szCs w:val="20"/>
      <w:lang w:eastAsia="en-GB"/>
    </w:rPr>
  </w:style>
  <w:style w:type="character" w:customStyle="1" w:styleId="PHEBulletpointsChar">
    <w:name w:val="PHE Bullet points Char"/>
    <w:link w:val="PHEBulletpoints"/>
    <w:locked/>
    <w:rsid w:val="00E57AFF"/>
    <w:rPr>
      <w:rFonts w:ascii="Arial" w:hAnsi="Arial" w:cs="Arial"/>
      <w:sz w:val="24"/>
      <w:szCs w:val="24"/>
    </w:rPr>
  </w:style>
  <w:style w:type="paragraph" w:customStyle="1" w:styleId="PHEBulletpoints">
    <w:name w:val="PHE Bullet points"/>
    <w:link w:val="PHEBulletpointsChar"/>
    <w:rsid w:val="00E57AFF"/>
    <w:pPr>
      <w:numPr>
        <w:numId w:val="2"/>
      </w:numPr>
      <w:spacing w:after="0" w:line="320" w:lineRule="exact"/>
      <w:ind w:right="794"/>
    </w:pPr>
    <w:rPr>
      <w:rFonts w:ascii="Arial" w:hAnsi="Arial" w:cs="Arial"/>
      <w:sz w:val="24"/>
      <w:szCs w:val="24"/>
    </w:rPr>
  </w:style>
  <w:style w:type="character" w:customStyle="1" w:styleId="UnresolvedMention2">
    <w:name w:val="Unresolved Mention2"/>
    <w:basedOn w:val="DefaultParagraphFont"/>
    <w:uiPriority w:val="99"/>
    <w:semiHidden/>
    <w:unhideWhenUsed/>
    <w:rsid w:val="00F553F8"/>
    <w:rPr>
      <w:color w:val="605E5C"/>
      <w:shd w:val="clear" w:color="auto" w:fill="E1DFDD"/>
    </w:rPr>
  </w:style>
  <w:style w:type="character" w:styleId="FollowedHyperlink">
    <w:name w:val="FollowedHyperlink"/>
    <w:basedOn w:val="DefaultParagraphFont"/>
    <w:uiPriority w:val="99"/>
    <w:semiHidden/>
    <w:unhideWhenUsed/>
    <w:rsid w:val="00A75361"/>
    <w:rPr>
      <w:color w:val="954F72" w:themeColor="followedHyperlink"/>
      <w:u w:val="single"/>
    </w:rPr>
  </w:style>
  <w:style w:type="paragraph" w:customStyle="1" w:styleId="paragraph">
    <w:name w:val="paragraph"/>
    <w:basedOn w:val="Normal"/>
    <w:rsid w:val="007D061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7D0615"/>
  </w:style>
  <w:style w:type="character" w:customStyle="1" w:styleId="eop">
    <w:name w:val="eop"/>
    <w:basedOn w:val="DefaultParagraphFont"/>
    <w:rsid w:val="007D0615"/>
  </w:style>
  <w:style w:type="character" w:styleId="Emphasis">
    <w:name w:val="Emphasis"/>
    <w:basedOn w:val="DefaultParagraphFont"/>
    <w:uiPriority w:val="20"/>
    <w:qFormat/>
    <w:rsid w:val="0081118F"/>
    <w:rPr>
      <w:i/>
      <w:iCs/>
    </w:rPr>
  </w:style>
  <w:style w:type="paragraph" w:customStyle="1" w:styleId="PHESecondaryHeadingTwo">
    <w:name w:val="PHE Secondary Heading Two"/>
    <w:basedOn w:val="Normal"/>
    <w:qFormat/>
    <w:rsid w:val="004D52D5"/>
    <w:pPr>
      <w:spacing w:after="360" w:line="360" w:lineRule="exact"/>
    </w:pPr>
    <w:rPr>
      <w:rFonts w:eastAsia="Times New Roman" w:cs="Times New Roman"/>
      <w:color w:val="98002E"/>
      <w:sz w:val="26"/>
      <w:szCs w:val="20"/>
    </w:rPr>
  </w:style>
  <w:style w:type="paragraph" w:customStyle="1" w:styleId="PHEContentslist">
    <w:name w:val="PHE Contents list"/>
    <w:basedOn w:val="TOC1"/>
    <w:link w:val="PHEContentslistChar"/>
    <w:qFormat/>
    <w:rsid w:val="004D52D5"/>
    <w:pPr>
      <w:tabs>
        <w:tab w:val="right" w:pos="9299"/>
        <w:tab w:val="right" w:leader="dot" w:pos="10082"/>
      </w:tabs>
      <w:spacing w:before="0" w:after="0" w:line="320" w:lineRule="exact"/>
    </w:pPr>
    <w:rPr>
      <w:rFonts w:eastAsia="Times New Roman" w:cs="Times New Roman"/>
      <w:b w:val="0"/>
      <w:bCs w:val="0"/>
      <w:noProof/>
      <w:sz w:val="24"/>
      <w:lang w:val="x-none"/>
    </w:rPr>
  </w:style>
  <w:style w:type="character" w:customStyle="1" w:styleId="PHEContentslistChar">
    <w:name w:val="PHE Contents list Char"/>
    <w:link w:val="PHEContentslist"/>
    <w:rsid w:val="004D52D5"/>
    <w:rPr>
      <w:rFonts w:ascii="Arial" w:eastAsia="Times New Roman" w:hAnsi="Arial" w:cs="Times New Roman"/>
      <w:noProof/>
      <w:sz w:val="24"/>
      <w:szCs w:val="20"/>
      <w:lang w:val="x-none"/>
    </w:rPr>
  </w:style>
  <w:style w:type="paragraph" w:customStyle="1" w:styleId="PHESecondaryHeadingOne">
    <w:name w:val="PHE Secondary Heading One"/>
    <w:basedOn w:val="Normal"/>
    <w:rsid w:val="003340BD"/>
    <w:pPr>
      <w:spacing w:after="320" w:line="360" w:lineRule="exact"/>
    </w:pPr>
    <w:rPr>
      <w:rFonts w:eastAsia="Times New Roman" w:cs="Times New Roman"/>
      <w:color w:val="98002E"/>
      <w:sz w:val="28"/>
      <w:szCs w:val="20"/>
    </w:rPr>
  </w:style>
  <w:style w:type="paragraph" w:styleId="NoSpacing">
    <w:name w:val="No Spacing"/>
    <w:aliases w:val="Table"/>
    <w:uiPriority w:val="1"/>
    <w:qFormat/>
    <w:rsid w:val="00E80FEE"/>
    <w:pPr>
      <w:spacing w:after="0" w:line="240" w:lineRule="auto"/>
    </w:pPr>
    <w:rPr>
      <w:rFonts w:ascii="Helvetica" w:eastAsiaTheme="minorEastAsia" w:hAnsi="Helvetica"/>
      <w:szCs w:val="24"/>
    </w:rPr>
  </w:style>
  <w:style w:type="paragraph" w:styleId="Revision">
    <w:name w:val="Revision"/>
    <w:hidden/>
    <w:uiPriority w:val="99"/>
    <w:semiHidden/>
    <w:rsid w:val="00484AF1"/>
    <w:pPr>
      <w:spacing w:after="0" w:line="240" w:lineRule="auto"/>
    </w:pPr>
    <w:rPr>
      <w:rFonts w:ascii="Arial" w:hAnsi="Arial"/>
      <w:sz w:val="24"/>
    </w:rPr>
  </w:style>
  <w:style w:type="table" w:styleId="GridTable2">
    <w:name w:val="Grid Table 2"/>
    <w:basedOn w:val="TableNormal"/>
    <w:uiPriority w:val="47"/>
    <w:rsid w:val="00584ED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584ED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semiHidden/>
    <w:rsid w:val="0003487B"/>
    <w:rPr>
      <w:rFonts w:asciiTheme="majorHAnsi" w:eastAsiaTheme="majorEastAsia" w:hAnsiTheme="majorHAnsi" w:cstheme="majorBidi"/>
      <w:i/>
      <w:iCs/>
      <w:color w:val="2F5496" w:themeColor="accent1" w:themeShade="BF"/>
    </w:rPr>
  </w:style>
  <w:style w:type="character" w:customStyle="1" w:styleId="number">
    <w:name w:val="number"/>
    <w:basedOn w:val="DefaultParagraphFont"/>
    <w:rsid w:val="0003487B"/>
  </w:style>
  <w:style w:type="table" w:styleId="GridTable4-Accent1">
    <w:name w:val="Grid Table 4 Accent 1"/>
    <w:basedOn w:val="TableNormal"/>
    <w:uiPriority w:val="49"/>
    <w:rsid w:val="003624A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B21127"/>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UnresolvedMention3">
    <w:name w:val="Unresolved Mention3"/>
    <w:basedOn w:val="DefaultParagraphFont"/>
    <w:uiPriority w:val="99"/>
    <w:semiHidden/>
    <w:unhideWhenUsed/>
    <w:rsid w:val="00AB4973"/>
    <w:rPr>
      <w:color w:val="605E5C"/>
      <w:shd w:val="clear" w:color="auto" w:fill="E1DFDD"/>
    </w:rPr>
  </w:style>
  <w:style w:type="paragraph" w:customStyle="1" w:styleId="pf0">
    <w:name w:val="pf0"/>
    <w:basedOn w:val="Normal"/>
    <w:rsid w:val="0043143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f01">
    <w:name w:val="cf01"/>
    <w:basedOn w:val="DefaultParagraphFont"/>
    <w:rsid w:val="0043143D"/>
    <w:rPr>
      <w:rFonts w:ascii="Segoe UI" w:hAnsi="Segoe UI" w:cs="Segoe UI" w:hint="default"/>
      <w:color w:val="0B0C0C"/>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5978">
      <w:bodyDiv w:val="1"/>
      <w:marLeft w:val="0"/>
      <w:marRight w:val="0"/>
      <w:marTop w:val="0"/>
      <w:marBottom w:val="0"/>
      <w:divBdr>
        <w:top w:val="none" w:sz="0" w:space="0" w:color="auto"/>
        <w:left w:val="none" w:sz="0" w:space="0" w:color="auto"/>
        <w:bottom w:val="none" w:sz="0" w:space="0" w:color="auto"/>
        <w:right w:val="none" w:sz="0" w:space="0" w:color="auto"/>
      </w:divBdr>
    </w:div>
    <w:div w:id="14776517">
      <w:bodyDiv w:val="1"/>
      <w:marLeft w:val="0"/>
      <w:marRight w:val="0"/>
      <w:marTop w:val="0"/>
      <w:marBottom w:val="0"/>
      <w:divBdr>
        <w:top w:val="none" w:sz="0" w:space="0" w:color="auto"/>
        <w:left w:val="none" w:sz="0" w:space="0" w:color="auto"/>
        <w:bottom w:val="none" w:sz="0" w:space="0" w:color="auto"/>
        <w:right w:val="none" w:sz="0" w:space="0" w:color="auto"/>
      </w:divBdr>
    </w:div>
    <w:div w:id="21520168">
      <w:bodyDiv w:val="1"/>
      <w:marLeft w:val="0"/>
      <w:marRight w:val="0"/>
      <w:marTop w:val="0"/>
      <w:marBottom w:val="0"/>
      <w:divBdr>
        <w:top w:val="none" w:sz="0" w:space="0" w:color="auto"/>
        <w:left w:val="none" w:sz="0" w:space="0" w:color="auto"/>
        <w:bottom w:val="none" w:sz="0" w:space="0" w:color="auto"/>
        <w:right w:val="none" w:sz="0" w:space="0" w:color="auto"/>
      </w:divBdr>
    </w:div>
    <w:div w:id="54356186">
      <w:bodyDiv w:val="1"/>
      <w:marLeft w:val="0"/>
      <w:marRight w:val="0"/>
      <w:marTop w:val="0"/>
      <w:marBottom w:val="0"/>
      <w:divBdr>
        <w:top w:val="none" w:sz="0" w:space="0" w:color="auto"/>
        <w:left w:val="none" w:sz="0" w:space="0" w:color="auto"/>
        <w:bottom w:val="none" w:sz="0" w:space="0" w:color="auto"/>
        <w:right w:val="none" w:sz="0" w:space="0" w:color="auto"/>
      </w:divBdr>
    </w:div>
    <w:div w:id="165485737">
      <w:bodyDiv w:val="1"/>
      <w:marLeft w:val="0"/>
      <w:marRight w:val="0"/>
      <w:marTop w:val="0"/>
      <w:marBottom w:val="0"/>
      <w:divBdr>
        <w:top w:val="none" w:sz="0" w:space="0" w:color="auto"/>
        <w:left w:val="none" w:sz="0" w:space="0" w:color="auto"/>
        <w:bottom w:val="none" w:sz="0" w:space="0" w:color="auto"/>
        <w:right w:val="none" w:sz="0" w:space="0" w:color="auto"/>
      </w:divBdr>
    </w:div>
    <w:div w:id="167335263">
      <w:bodyDiv w:val="1"/>
      <w:marLeft w:val="0"/>
      <w:marRight w:val="0"/>
      <w:marTop w:val="0"/>
      <w:marBottom w:val="0"/>
      <w:divBdr>
        <w:top w:val="none" w:sz="0" w:space="0" w:color="auto"/>
        <w:left w:val="none" w:sz="0" w:space="0" w:color="auto"/>
        <w:bottom w:val="none" w:sz="0" w:space="0" w:color="auto"/>
        <w:right w:val="none" w:sz="0" w:space="0" w:color="auto"/>
      </w:divBdr>
    </w:div>
    <w:div w:id="169028444">
      <w:bodyDiv w:val="1"/>
      <w:marLeft w:val="0"/>
      <w:marRight w:val="0"/>
      <w:marTop w:val="0"/>
      <w:marBottom w:val="0"/>
      <w:divBdr>
        <w:top w:val="none" w:sz="0" w:space="0" w:color="auto"/>
        <w:left w:val="none" w:sz="0" w:space="0" w:color="auto"/>
        <w:bottom w:val="none" w:sz="0" w:space="0" w:color="auto"/>
        <w:right w:val="none" w:sz="0" w:space="0" w:color="auto"/>
      </w:divBdr>
    </w:div>
    <w:div w:id="183907005">
      <w:bodyDiv w:val="1"/>
      <w:marLeft w:val="0"/>
      <w:marRight w:val="0"/>
      <w:marTop w:val="0"/>
      <w:marBottom w:val="0"/>
      <w:divBdr>
        <w:top w:val="none" w:sz="0" w:space="0" w:color="auto"/>
        <w:left w:val="none" w:sz="0" w:space="0" w:color="auto"/>
        <w:bottom w:val="none" w:sz="0" w:space="0" w:color="auto"/>
        <w:right w:val="none" w:sz="0" w:space="0" w:color="auto"/>
      </w:divBdr>
    </w:div>
    <w:div w:id="322897738">
      <w:bodyDiv w:val="1"/>
      <w:marLeft w:val="0"/>
      <w:marRight w:val="0"/>
      <w:marTop w:val="0"/>
      <w:marBottom w:val="0"/>
      <w:divBdr>
        <w:top w:val="none" w:sz="0" w:space="0" w:color="auto"/>
        <w:left w:val="none" w:sz="0" w:space="0" w:color="auto"/>
        <w:bottom w:val="none" w:sz="0" w:space="0" w:color="auto"/>
        <w:right w:val="none" w:sz="0" w:space="0" w:color="auto"/>
      </w:divBdr>
      <w:divsChild>
        <w:div w:id="271133289">
          <w:marLeft w:val="0"/>
          <w:marRight w:val="0"/>
          <w:marTop w:val="0"/>
          <w:marBottom w:val="0"/>
          <w:divBdr>
            <w:top w:val="none" w:sz="0" w:space="0" w:color="auto"/>
            <w:left w:val="none" w:sz="0" w:space="0" w:color="auto"/>
            <w:bottom w:val="none" w:sz="0" w:space="0" w:color="auto"/>
            <w:right w:val="none" w:sz="0" w:space="0" w:color="auto"/>
          </w:divBdr>
        </w:div>
        <w:div w:id="1423337963">
          <w:marLeft w:val="0"/>
          <w:marRight w:val="0"/>
          <w:marTop w:val="0"/>
          <w:marBottom w:val="0"/>
          <w:divBdr>
            <w:top w:val="none" w:sz="0" w:space="0" w:color="auto"/>
            <w:left w:val="none" w:sz="0" w:space="0" w:color="auto"/>
            <w:bottom w:val="none" w:sz="0" w:space="0" w:color="auto"/>
            <w:right w:val="none" w:sz="0" w:space="0" w:color="auto"/>
          </w:divBdr>
        </w:div>
        <w:div w:id="1832141609">
          <w:marLeft w:val="0"/>
          <w:marRight w:val="0"/>
          <w:marTop w:val="0"/>
          <w:marBottom w:val="0"/>
          <w:divBdr>
            <w:top w:val="none" w:sz="0" w:space="0" w:color="auto"/>
            <w:left w:val="none" w:sz="0" w:space="0" w:color="auto"/>
            <w:bottom w:val="none" w:sz="0" w:space="0" w:color="auto"/>
            <w:right w:val="none" w:sz="0" w:space="0" w:color="auto"/>
          </w:divBdr>
        </w:div>
      </w:divsChild>
    </w:div>
    <w:div w:id="374699899">
      <w:bodyDiv w:val="1"/>
      <w:marLeft w:val="0"/>
      <w:marRight w:val="0"/>
      <w:marTop w:val="0"/>
      <w:marBottom w:val="0"/>
      <w:divBdr>
        <w:top w:val="none" w:sz="0" w:space="0" w:color="auto"/>
        <w:left w:val="none" w:sz="0" w:space="0" w:color="auto"/>
        <w:bottom w:val="none" w:sz="0" w:space="0" w:color="auto"/>
        <w:right w:val="none" w:sz="0" w:space="0" w:color="auto"/>
      </w:divBdr>
      <w:divsChild>
        <w:div w:id="993919614">
          <w:marLeft w:val="0"/>
          <w:marRight w:val="0"/>
          <w:marTop w:val="0"/>
          <w:marBottom w:val="0"/>
          <w:divBdr>
            <w:top w:val="none" w:sz="0" w:space="0" w:color="auto"/>
            <w:left w:val="none" w:sz="0" w:space="0" w:color="auto"/>
            <w:bottom w:val="none" w:sz="0" w:space="0" w:color="auto"/>
            <w:right w:val="none" w:sz="0" w:space="0" w:color="auto"/>
          </w:divBdr>
        </w:div>
      </w:divsChild>
    </w:div>
    <w:div w:id="388040695">
      <w:bodyDiv w:val="1"/>
      <w:marLeft w:val="0"/>
      <w:marRight w:val="0"/>
      <w:marTop w:val="0"/>
      <w:marBottom w:val="0"/>
      <w:divBdr>
        <w:top w:val="none" w:sz="0" w:space="0" w:color="auto"/>
        <w:left w:val="none" w:sz="0" w:space="0" w:color="auto"/>
        <w:bottom w:val="none" w:sz="0" w:space="0" w:color="auto"/>
        <w:right w:val="none" w:sz="0" w:space="0" w:color="auto"/>
      </w:divBdr>
    </w:div>
    <w:div w:id="438256985">
      <w:bodyDiv w:val="1"/>
      <w:marLeft w:val="0"/>
      <w:marRight w:val="0"/>
      <w:marTop w:val="0"/>
      <w:marBottom w:val="0"/>
      <w:divBdr>
        <w:top w:val="none" w:sz="0" w:space="0" w:color="auto"/>
        <w:left w:val="none" w:sz="0" w:space="0" w:color="auto"/>
        <w:bottom w:val="none" w:sz="0" w:space="0" w:color="auto"/>
        <w:right w:val="none" w:sz="0" w:space="0" w:color="auto"/>
      </w:divBdr>
    </w:div>
    <w:div w:id="483281380">
      <w:bodyDiv w:val="1"/>
      <w:marLeft w:val="0"/>
      <w:marRight w:val="0"/>
      <w:marTop w:val="0"/>
      <w:marBottom w:val="0"/>
      <w:divBdr>
        <w:top w:val="none" w:sz="0" w:space="0" w:color="auto"/>
        <w:left w:val="none" w:sz="0" w:space="0" w:color="auto"/>
        <w:bottom w:val="none" w:sz="0" w:space="0" w:color="auto"/>
        <w:right w:val="none" w:sz="0" w:space="0" w:color="auto"/>
      </w:divBdr>
    </w:div>
    <w:div w:id="501045313">
      <w:bodyDiv w:val="1"/>
      <w:marLeft w:val="0"/>
      <w:marRight w:val="0"/>
      <w:marTop w:val="0"/>
      <w:marBottom w:val="0"/>
      <w:divBdr>
        <w:top w:val="none" w:sz="0" w:space="0" w:color="auto"/>
        <w:left w:val="none" w:sz="0" w:space="0" w:color="auto"/>
        <w:bottom w:val="none" w:sz="0" w:space="0" w:color="auto"/>
        <w:right w:val="none" w:sz="0" w:space="0" w:color="auto"/>
      </w:divBdr>
    </w:div>
    <w:div w:id="527917661">
      <w:bodyDiv w:val="1"/>
      <w:marLeft w:val="0"/>
      <w:marRight w:val="0"/>
      <w:marTop w:val="0"/>
      <w:marBottom w:val="0"/>
      <w:divBdr>
        <w:top w:val="none" w:sz="0" w:space="0" w:color="auto"/>
        <w:left w:val="none" w:sz="0" w:space="0" w:color="auto"/>
        <w:bottom w:val="none" w:sz="0" w:space="0" w:color="auto"/>
        <w:right w:val="none" w:sz="0" w:space="0" w:color="auto"/>
      </w:divBdr>
    </w:div>
    <w:div w:id="656571198">
      <w:bodyDiv w:val="1"/>
      <w:marLeft w:val="0"/>
      <w:marRight w:val="0"/>
      <w:marTop w:val="0"/>
      <w:marBottom w:val="0"/>
      <w:divBdr>
        <w:top w:val="none" w:sz="0" w:space="0" w:color="auto"/>
        <w:left w:val="none" w:sz="0" w:space="0" w:color="auto"/>
        <w:bottom w:val="none" w:sz="0" w:space="0" w:color="auto"/>
        <w:right w:val="none" w:sz="0" w:space="0" w:color="auto"/>
      </w:divBdr>
    </w:div>
    <w:div w:id="1047678923">
      <w:bodyDiv w:val="1"/>
      <w:marLeft w:val="0"/>
      <w:marRight w:val="0"/>
      <w:marTop w:val="0"/>
      <w:marBottom w:val="0"/>
      <w:divBdr>
        <w:top w:val="none" w:sz="0" w:space="0" w:color="auto"/>
        <w:left w:val="none" w:sz="0" w:space="0" w:color="auto"/>
        <w:bottom w:val="none" w:sz="0" w:space="0" w:color="auto"/>
        <w:right w:val="none" w:sz="0" w:space="0" w:color="auto"/>
      </w:divBdr>
      <w:divsChild>
        <w:div w:id="1409225684">
          <w:marLeft w:val="0"/>
          <w:marRight w:val="0"/>
          <w:marTop w:val="0"/>
          <w:marBottom w:val="0"/>
          <w:divBdr>
            <w:top w:val="none" w:sz="0" w:space="0" w:color="auto"/>
            <w:left w:val="none" w:sz="0" w:space="0" w:color="auto"/>
            <w:bottom w:val="none" w:sz="0" w:space="0" w:color="auto"/>
            <w:right w:val="none" w:sz="0" w:space="0" w:color="auto"/>
          </w:divBdr>
        </w:div>
      </w:divsChild>
    </w:div>
    <w:div w:id="1188251187">
      <w:bodyDiv w:val="1"/>
      <w:marLeft w:val="0"/>
      <w:marRight w:val="0"/>
      <w:marTop w:val="0"/>
      <w:marBottom w:val="0"/>
      <w:divBdr>
        <w:top w:val="none" w:sz="0" w:space="0" w:color="auto"/>
        <w:left w:val="none" w:sz="0" w:space="0" w:color="auto"/>
        <w:bottom w:val="none" w:sz="0" w:space="0" w:color="auto"/>
        <w:right w:val="none" w:sz="0" w:space="0" w:color="auto"/>
      </w:divBdr>
    </w:div>
    <w:div w:id="1216548138">
      <w:bodyDiv w:val="1"/>
      <w:marLeft w:val="0"/>
      <w:marRight w:val="0"/>
      <w:marTop w:val="0"/>
      <w:marBottom w:val="0"/>
      <w:divBdr>
        <w:top w:val="none" w:sz="0" w:space="0" w:color="auto"/>
        <w:left w:val="none" w:sz="0" w:space="0" w:color="auto"/>
        <w:bottom w:val="none" w:sz="0" w:space="0" w:color="auto"/>
        <w:right w:val="none" w:sz="0" w:space="0" w:color="auto"/>
      </w:divBdr>
      <w:divsChild>
        <w:div w:id="1302149409">
          <w:marLeft w:val="547"/>
          <w:marRight w:val="0"/>
          <w:marTop w:val="0"/>
          <w:marBottom w:val="0"/>
          <w:divBdr>
            <w:top w:val="none" w:sz="0" w:space="0" w:color="auto"/>
            <w:left w:val="none" w:sz="0" w:space="0" w:color="auto"/>
            <w:bottom w:val="none" w:sz="0" w:space="0" w:color="auto"/>
            <w:right w:val="none" w:sz="0" w:space="0" w:color="auto"/>
          </w:divBdr>
        </w:div>
        <w:div w:id="358045426">
          <w:marLeft w:val="1267"/>
          <w:marRight w:val="0"/>
          <w:marTop w:val="0"/>
          <w:marBottom w:val="0"/>
          <w:divBdr>
            <w:top w:val="none" w:sz="0" w:space="0" w:color="auto"/>
            <w:left w:val="none" w:sz="0" w:space="0" w:color="auto"/>
            <w:bottom w:val="none" w:sz="0" w:space="0" w:color="auto"/>
            <w:right w:val="none" w:sz="0" w:space="0" w:color="auto"/>
          </w:divBdr>
        </w:div>
        <w:div w:id="542136190">
          <w:marLeft w:val="1267"/>
          <w:marRight w:val="0"/>
          <w:marTop w:val="0"/>
          <w:marBottom w:val="0"/>
          <w:divBdr>
            <w:top w:val="none" w:sz="0" w:space="0" w:color="auto"/>
            <w:left w:val="none" w:sz="0" w:space="0" w:color="auto"/>
            <w:bottom w:val="none" w:sz="0" w:space="0" w:color="auto"/>
            <w:right w:val="none" w:sz="0" w:space="0" w:color="auto"/>
          </w:divBdr>
        </w:div>
        <w:div w:id="597173445">
          <w:marLeft w:val="1267"/>
          <w:marRight w:val="0"/>
          <w:marTop w:val="0"/>
          <w:marBottom w:val="0"/>
          <w:divBdr>
            <w:top w:val="none" w:sz="0" w:space="0" w:color="auto"/>
            <w:left w:val="none" w:sz="0" w:space="0" w:color="auto"/>
            <w:bottom w:val="none" w:sz="0" w:space="0" w:color="auto"/>
            <w:right w:val="none" w:sz="0" w:space="0" w:color="auto"/>
          </w:divBdr>
        </w:div>
        <w:div w:id="1854957678">
          <w:marLeft w:val="547"/>
          <w:marRight w:val="0"/>
          <w:marTop w:val="0"/>
          <w:marBottom w:val="0"/>
          <w:divBdr>
            <w:top w:val="none" w:sz="0" w:space="0" w:color="auto"/>
            <w:left w:val="none" w:sz="0" w:space="0" w:color="auto"/>
            <w:bottom w:val="none" w:sz="0" w:space="0" w:color="auto"/>
            <w:right w:val="none" w:sz="0" w:space="0" w:color="auto"/>
          </w:divBdr>
        </w:div>
        <w:div w:id="1418745684">
          <w:marLeft w:val="547"/>
          <w:marRight w:val="0"/>
          <w:marTop w:val="0"/>
          <w:marBottom w:val="0"/>
          <w:divBdr>
            <w:top w:val="none" w:sz="0" w:space="0" w:color="auto"/>
            <w:left w:val="none" w:sz="0" w:space="0" w:color="auto"/>
            <w:bottom w:val="none" w:sz="0" w:space="0" w:color="auto"/>
            <w:right w:val="none" w:sz="0" w:space="0" w:color="auto"/>
          </w:divBdr>
        </w:div>
      </w:divsChild>
    </w:div>
    <w:div w:id="1481144486">
      <w:bodyDiv w:val="1"/>
      <w:marLeft w:val="0"/>
      <w:marRight w:val="0"/>
      <w:marTop w:val="0"/>
      <w:marBottom w:val="0"/>
      <w:divBdr>
        <w:top w:val="none" w:sz="0" w:space="0" w:color="auto"/>
        <w:left w:val="none" w:sz="0" w:space="0" w:color="auto"/>
        <w:bottom w:val="none" w:sz="0" w:space="0" w:color="auto"/>
        <w:right w:val="none" w:sz="0" w:space="0" w:color="auto"/>
      </w:divBdr>
    </w:div>
    <w:div w:id="1581213786">
      <w:bodyDiv w:val="1"/>
      <w:marLeft w:val="0"/>
      <w:marRight w:val="0"/>
      <w:marTop w:val="0"/>
      <w:marBottom w:val="0"/>
      <w:divBdr>
        <w:top w:val="none" w:sz="0" w:space="0" w:color="auto"/>
        <w:left w:val="none" w:sz="0" w:space="0" w:color="auto"/>
        <w:bottom w:val="none" w:sz="0" w:space="0" w:color="auto"/>
        <w:right w:val="none" w:sz="0" w:space="0" w:color="auto"/>
      </w:divBdr>
    </w:div>
    <w:div w:id="1581716944">
      <w:bodyDiv w:val="1"/>
      <w:marLeft w:val="0"/>
      <w:marRight w:val="0"/>
      <w:marTop w:val="0"/>
      <w:marBottom w:val="0"/>
      <w:divBdr>
        <w:top w:val="none" w:sz="0" w:space="0" w:color="auto"/>
        <w:left w:val="none" w:sz="0" w:space="0" w:color="auto"/>
        <w:bottom w:val="none" w:sz="0" w:space="0" w:color="auto"/>
        <w:right w:val="none" w:sz="0" w:space="0" w:color="auto"/>
      </w:divBdr>
    </w:div>
    <w:div w:id="1584220206">
      <w:bodyDiv w:val="1"/>
      <w:marLeft w:val="0"/>
      <w:marRight w:val="0"/>
      <w:marTop w:val="0"/>
      <w:marBottom w:val="0"/>
      <w:divBdr>
        <w:top w:val="none" w:sz="0" w:space="0" w:color="auto"/>
        <w:left w:val="none" w:sz="0" w:space="0" w:color="auto"/>
        <w:bottom w:val="none" w:sz="0" w:space="0" w:color="auto"/>
        <w:right w:val="none" w:sz="0" w:space="0" w:color="auto"/>
      </w:divBdr>
    </w:div>
    <w:div w:id="1610505416">
      <w:bodyDiv w:val="1"/>
      <w:marLeft w:val="0"/>
      <w:marRight w:val="0"/>
      <w:marTop w:val="0"/>
      <w:marBottom w:val="0"/>
      <w:divBdr>
        <w:top w:val="none" w:sz="0" w:space="0" w:color="auto"/>
        <w:left w:val="none" w:sz="0" w:space="0" w:color="auto"/>
        <w:bottom w:val="none" w:sz="0" w:space="0" w:color="auto"/>
        <w:right w:val="none" w:sz="0" w:space="0" w:color="auto"/>
      </w:divBdr>
    </w:div>
    <w:div w:id="1656108433">
      <w:bodyDiv w:val="1"/>
      <w:marLeft w:val="0"/>
      <w:marRight w:val="0"/>
      <w:marTop w:val="0"/>
      <w:marBottom w:val="0"/>
      <w:divBdr>
        <w:top w:val="none" w:sz="0" w:space="0" w:color="auto"/>
        <w:left w:val="none" w:sz="0" w:space="0" w:color="auto"/>
        <w:bottom w:val="none" w:sz="0" w:space="0" w:color="auto"/>
        <w:right w:val="none" w:sz="0" w:space="0" w:color="auto"/>
      </w:divBdr>
    </w:div>
    <w:div w:id="1718628556">
      <w:bodyDiv w:val="1"/>
      <w:marLeft w:val="0"/>
      <w:marRight w:val="0"/>
      <w:marTop w:val="0"/>
      <w:marBottom w:val="0"/>
      <w:divBdr>
        <w:top w:val="none" w:sz="0" w:space="0" w:color="auto"/>
        <w:left w:val="none" w:sz="0" w:space="0" w:color="auto"/>
        <w:bottom w:val="none" w:sz="0" w:space="0" w:color="auto"/>
        <w:right w:val="none" w:sz="0" w:space="0" w:color="auto"/>
      </w:divBdr>
    </w:div>
    <w:div w:id="1750807097">
      <w:bodyDiv w:val="1"/>
      <w:marLeft w:val="0"/>
      <w:marRight w:val="0"/>
      <w:marTop w:val="0"/>
      <w:marBottom w:val="0"/>
      <w:divBdr>
        <w:top w:val="none" w:sz="0" w:space="0" w:color="auto"/>
        <w:left w:val="none" w:sz="0" w:space="0" w:color="auto"/>
        <w:bottom w:val="none" w:sz="0" w:space="0" w:color="auto"/>
        <w:right w:val="none" w:sz="0" w:space="0" w:color="auto"/>
      </w:divBdr>
    </w:div>
    <w:div w:id="1836459528">
      <w:bodyDiv w:val="1"/>
      <w:marLeft w:val="0"/>
      <w:marRight w:val="0"/>
      <w:marTop w:val="0"/>
      <w:marBottom w:val="0"/>
      <w:divBdr>
        <w:top w:val="none" w:sz="0" w:space="0" w:color="auto"/>
        <w:left w:val="none" w:sz="0" w:space="0" w:color="auto"/>
        <w:bottom w:val="none" w:sz="0" w:space="0" w:color="auto"/>
        <w:right w:val="none" w:sz="0" w:space="0" w:color="auto"/>
      </w:divBdr>
    </w:div>
    <w:div w:id="1846284703">
      <w:bodyDiv w:val="1"/>
      <w:marLeft w:val="0"/>
      <w:marRight w:val="0"/>
      <w:marTop w:val="0"/>
      <w:marBottom w:val="0"/>
      <w:divBdr>
        <w:top w:val="none" w:sz="0" w:space="0" w:color="auto"/>
        <w:left w:val="none" w:sz="0" w:space="0" w:color="auto"/>
        <w:bottom w:val="none" w:sz="0" w:space="0" w:color="auto"/>
        <w:right w:val="none" w:sz="0" w:space="0" w:color="auto"/>
      </w:divBdr>
      <w:divsChild>
        <w:div w:id="300891759">
          <w:marLeft w:val="547"/>
          <w:marRight w:val="0"/>
          <w:marTop w:val="0"/>
          <w:marBottom w:val="0"/>
          <w:divBdr>
            <w:top w:val="none" w:sz="0" w:space="0" w:color="auto"/>
            <w:left w:val="none" w:sz="0" w:space="0" w:color="auto"/>
            <w:bottom w:val="none" w:sz="0" w:space="0" w:color="auto"/>
            <w:right w:val="none" w:sz="0" w:space="0" w:color="auto"/>
          </w:divBdr>
        </w:div>
        <w:div w:id="406419457">
          <w:marLeft w:val="547"/>
          <w:marRight w:val="0"/>
          <w:marTop w:val="0"/>
          <w:marBottom w:val="0"/>
          <w:divBdr>
            <w:top w:val="none" w:sz="0" w:space="0" w:color="auto"/>
            <w:left w:val="none" w:sz="0" w:space="0" w:color="auto"/>
            <w:bottom w:val="none" w:sz="0" w:space="0" w:color="auto"/>
            <w:right w:val="none" w:sz="0" w:space="0" w:color="auto"/>
          </w:divBdr>
        </w:div>
        <w:div w:id="2115127820">
          <w:marLeft w:val="547"/>
          <w:marRight w:val="0"/>
          <w:marTop w:val="0"/>
          <w:marBottom w:val="0"/>
          <w:divBdr>
            <w:top w:val="none" w:sz="0" w:space="0" w:color="auto"/>
            <w:left w:val="none" w:sz="0" w:space="0" w:color="auto"/>
            <w:bottom w:val="none" w:sz="0" w:space="0" w:color="auto"/>
            <w:right w:val="none" w:sz="0" w:space="0" w:color="auto"/>
          </w:divBdr>
        </w:div>
        <w:div w:id="1038507574">
          <w:marLeft w:val="547"/>
          <w:marRight w:val="0"/>
          <w:marTop w:val="0"/>
          <w:marBottom w:val="0"/>
          <w:divBdr>
            <w:top w:val="none" w:sz="0" w:space="0" w:color="auto"/>
            <w:left w:val="none" w:sz="0" w:space="0" w:color="auto"/>
            <w:bottom w:val="none" w:sz="0" w:space="0" w:color="auto"/>
            <w:right w:val="none" w:sz="0" w:space="0" w:color="auto"/>
          </w:divBdr>
        </w:div>
        <w:div w:id="801534999">
          <w:marLeft w:val="1267"/>
          <w:marRight w:val="0"/>
          <w:marTop w:val="0"/>
          <w:marBottom w:val="0"/>
          <w:divBdr>
            <w:top w:val="none" w:sz="0" w:space="0" w:color="auto"/>
            <w:left w:val="none" w:sz="0" w:space="0" w:color="auto"/>
            <w:bottom w:val="none" w:sz="0" w:space="0" w:color="auto"/>
            <w:right w:val="none" w:sz="0" w:space="0" w:color="auto"/>
          </w:divBdr>
        </w:div>
        <w:div w:id="535389180">
          <w:marLeft w:val="1267"/>
          <w:marRight w:val="0"/>
          <w:marTop w:val="0"/>
          <w:marBottom w:val="0"/>
          <w:divBdr>
            <w:top w:val="none" w:sz="0" w:space="0" w:color="auto"/>
            <w:left w:val="none" w:sz="0" w:space="0" w:color="auto"/>
            <w:bottom w:val="none" w:sz="0" w:space="0" w:color="auto"/>
            <w:right w:val="none" w:sz="0" w:space="0" w:color="auto"/>
          </w:divBdr>
        </w:div>
        <w:div w:id="866019355">
          <w:marLeft w:val="1267"/>
          <w:marRight w:val="0"/>
          <w:marTop w:val="0"/>
          <w:marBottom w:val="0"/>
          <w:divBdr>
            <w:top w:val="none" w:sz="0" w:space="0" w:color="auto"/>
            <w:left w:val="none" w:sz="0" w:space="0" w:color="auto"/>
            <w:bottom w:val="none" w:sz="0" w:space="0" w:color="auto"/>
            <w:right w:val="none" w:sz="0" w:space="0" w:color="auto"/>
          </w:divBdr>
        </w:div>
        <w:div w:id="1934898506">
          <w:marLeft w:val="1267"/>
          <w:marRight w:val="0"/>
          <w:marTop w:val="0"/>
          <w:marBottom w:val="0"/>
          <w:divBdr>
            <w:top w:val="none" w:sz="0" w:space="0" w:color="auto"/>
            <w:left w:val="none" w:sz="0" w:space="0" w:color="auto"/>
            <w:bottom w:val="none" w:sz="0" w:space="0" w:color="auto"/>
            <w:right w:val="none" w:sz="0" w:space="0" w:color="auto"/>
          </w:divBdr>
        </w:div>
      </w:divsChild>
    </w:div>
    <w:div w:id="1896040873">
      <w:bodyDiv w:val="1"/>
      <w:marLeft w:val="0"/>
      <w:marRight w:val="0"/>
      <w:marTop w:val="0"/>
      <w:marBottom w:val="0"/>
      <w:divBdr>
        <w:top w:val="none" w:sz="0" w:space="0" w:color="auto"/>
        <w:left w:val="none" w:sz="0" w:space="0" w:color="auto"/>
        <w:bottom w:val="none" w:sz="0" w:space="0" w:color="auto"/>
        <w:right w:val="none" w:sz="0" w:space="0" w:color="auto"/>
      </w:divBdr>
    </w:div>
    <w:div w:id="1926769522">
      <w:bodyDiv w:val="1"/>
      <w:marLeft w:val="0"/>
      <w:marRight w:val="0"/>
      <w:marTop w:val="0"/>
      <w:marBottom w:val="0"/>
      <w:divBdr>
        <w:top w:val="none" w:sz="0" w:space="0" w:color="auto"/>
        <w:left w:val="none" w:sz="0" w:space="0" w:color="auto"/>
        <w:bottom w:val="none" w:sz="0" w:space="0" w:color="auto"/>
        <w:right w:val="none" w:sz="0" w:space="0" w:color="auto"/>
      </w:divBdr>
    </w:div>
    <w:div w:id="1936133402">
      <w:bodyDiv w:val="1"/>
      <w:marLeft w:val="0"/>
      <w:marRight w:val="0"/>
      <w:marTop w:val="0"/>
      <w:marBottom w:val="0"/>
      <w:divBdr>
        <w:top w:val="none" w:sz="0" w:space="0" w:color="auto"/>
        <w:left w:val="none" w:sz="0" w:space="0" w:color="auto"/>
        <w:bottom w:val="none" w:sz="0" w:space="0" w:color="auto"/>
        <w:right w:val="none" w:sz="0" w:space="0" w:color="auto"/>
      </w:divBdr>
    </w:div>
    <w:div w:id="2032753220">
      <w:bodyDiv w:val="1"/>
      <w:marLeft w:val="0"/>
      <w:marRight w:val="0"/>
      <w:marTop w:val="0"/>
      <w:marBottom w:val="0"/>
      <w:divBdr>
        <w:top w:val="none" w:sz="0" w:space="0" w:color="auto"/>
        <w:left w:val="none" w:sz="0" w:space="0" w:color="auto"/>
        <w:bottom w:val="none" w:sz="0" w:space="0" w:color="auto"/>
        <w:right w:val="none" w:sz="0" w:space="0" w:color="auto"/>
      </w:divBdr>
    </w:div>
    <w:div w:id="2069839929">
      <w:bodyDiv w:val="1"/>
      <w:marLeft w:val="0"/>
      <w:marRight w:val="0"/>
      <w:marTop w:val="0"/>
      <w:marBottom w:val="0"/>
      <w:divBdr>
        <w:top w:val="none" w:sz="0" w:space="0" w:color="auto"/>
        <w:left w:val="none" w:sz="0" w:space="0" w:color="auto"/>
        <w:bottom w:val="none" w:sz="0" w:space="0" w:color="auto"/>
        <w:right w:val="none" w:sz="0" w:space="0" w:color="auto"/>
      </w:divBdr>
    </w:div>
    <w:div w:id="2098942615">
      <w:bodyDiv w:val="1"/>
      <w:marLeft w:val="0"/>
      <w:marRight w:val="0"/>
      <w:marTop w:val="0"/>
      <w:marBottom w:val="0"/>
      <w:divBdr>
        <w:top w:val="none" w:sz="0" w:space="0" w:color="auto"/>
        <w:left w:val="none" w:sz="0" w:space="0" w:color="auto"/>
        <w:bottom w:val="none" w:sz="0" w:space="0" w:color="auto"/>
        <w:right w:val="none" w:sz="0" w:space="0" w:color="auto"/>
      </w:divBdr>
    </w:div>
    <w:div w:id="2115206433">
      <w:bodyDiv w:val="1"/>
      <w:marLeft w:val="0"/>
      <w:marRight w:val="0"/>
      <w:marTop w:val="0"/>
      <w:marBottom w:val="0"/>
      <w:divBdr>
        <w:top w:val="none" w:sz="0" w:space="0" w:color="auto"/>
        <w:left w:val="none" w:sz="0" w:space="0" w:color="auto"/>
        <w:bottom w:val="none" w:sz="0" w:space="0" w:color="auto"/>
        <w:right w:val="none" w:sz="0" w:space="0" w:color="auto"/>
      </w:divBdr>
    </w:div>
    <w:div w:id="21431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gov.wales/covid-19-treatments" TargetMode="External"/><Relationship Id="rId26" Type="http://schemas.openxmlformats.org/officeDocument/2006/relationships/hyperlink" Target="https://phw.nhs.wales/services-and-teams/harp/infection-prevention-and-control/guidance/criteria-for-completing-a-local-risk-assessment-primary-care-and-outpatient-settings-21-april-2022-version-1/" TargetMode="External"/><Relationship Id="rId21" Type="http://schemas.openxmlformats.org/officeDocument/2006/relationships/hyperlink" Target="https://phw.nhs.wales/services-and-teams/harp/infection-prevention-and-control/nipcm/a-z-pathogens/" TargetMode="External"/><Relationship Id="rId34" Type="http://schemas.openxmlformats.org/officeDocument/2006/relationships/hyperlink" Target="https://phw.nhs.wales/services-and-teams/harp/infection-prevention-and-control/nipcm/appendic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se.gov.uk/respiratory-protective-equipment/" TargetMode="External"/><Relationship Id="rId25" Type="http://schemas.openxmlformats.org/officeDocument/2006/relationships/hyperlink" Target="https://www.gov.uk/government/publications/covid-19-guidance-for-stepdown-of-infection-control-precautions-within-hospitals-and-discharging-covid-19-patients-from-hospital-to-home-settings/guidance-for-stepdown-of-infection-control-precautions-and-discharging-covid-19-patients" TargetMode="External"/><Relationship Id="rId33" Type="http://schemas.openxmlformats.org/officeDocument/2006/relationships/hyperlink" Target="https://www.gov.wales/advice-health-and-care-staff-respiratory-viruses-including-covid-19-guidance" TargetMode="External"/><Relationship Id="rId2" Type="http://schemas.openxmlformats.org/officeDocument/2006/relationships/customXml" Target="../customXml/item2.xml"/><Relationship Id="rId16" Type="http://schemas.openxmlformats.org/officeDocument/2006/relationships/hyperlink" Target="https://www.legislation.gov.uk/ukpga/1974/37/contents" TargetMode="External"/><Relationship Id="rId20" Type="http://schemas.openxmlformats.org/officeDocument/2006/relationships/hyperlink" Target="https://phw.nhs.wales/services-and-teams/harp/infection-prevention-and-control/nipcm/" TargetMode="External"/><Relationship Id="rId29" Type="http://schemas.openxmlformats.org/officeDocument/2006/relationships/hyperlink" Target="https://phw.nhs.wales/services-and-teams/harp/infection-prevention-and-control/guidance/criteria-for-completing-a-local-risk-assessment-social-care-21st-april-version-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wales/patient-testing-framework-autumnwinter-2023-whc2023037" TargetMode="External"/><Relationship Id="rId32" Type="http://schemas.openxmlformats.org/officeDocument/2006/relationships/hyperlink" Target="https://www.gov.wales/patient-testing-framework-autumnwinter-2023-whc2023037"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hw.nhs.wales/services-and-teams/harp/infection-prevention-and-control/nipcm/" TargetMode="External"/><Relationship Id="rId23" Type="http://schemas.openxmlformats.org/officeDocument/2006/relationships/hyperlink" Target="https://www.who.int/publications/i/item/WHO-2019-nCoV-ipc-guideline-2022.2" TargetMode="External"/><Relationship Id="rId28" Type="http://schemas.openxmlformats.org/officeDocument/2006/relationships/hyperlink" Target="https://www.gov.wales/covid-19-treatment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hw.nhs.wales/services-and-teams/harp/infection-prevention-and-control/guidance/criteria-for-completing-a-local-risk-assessment-acute-inpatient-areas-21st-april-2022-version-1/" TargetMode="External"/><Relationship Id="rId31" Type="http://schemas.openxmlformats.org/officeDocument/2006/relationships/hyperlink" Target="https://www.legislation.gov.uk/wsi/2010/1546/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wales/advice-respiratory-viruses-including-covid-19-staff-health-and-social-care-patients-and-residents" TargetMode="External"/><Relationship Id="rId22" Type="http://schemas.openxmlformats.org/officeDocument/2006/relationships/hyperlink" Target="https://phw.nhs.wales/services-and-teams/harp/infection-prevention-and-control/nipcm/appendices/" TargetMode="External"/><Relationship Id="rId27" Type="http://schemas.openxmlformats.org/officeDocument/2006/relationships/hyperlink" Target="https://www.gov.wales/patient-testing-framework-autumnwinter-2023-whc2023037" TargetMode="External"/><Relationship Id="rId30" Type="http://schemas.openxmlformats.org/officeDocument/2006/relationships/hyperlink" Target="https://www.gov.uk/government/publications/wuhan-novel-coronavirus-infection-prevention-and-control/covid-19-guidance-for-maintaining-services-within-health-and-care-settings-infection-prevention-and-control-recommendations" TargetMode="External"/><Relationship Id="rId35" Type="http://schemas.openxmlformats.org/officeDocument/2006/relationships/hyperlink" Target="https://phw.nhs.wales/services-and-teams/harp/infection-prevention-and-control/nipcm/appendic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936CDCDE8F8418920914B3BFFF19C" ma:contentTypeVersion="14" ma:contentTypeDescription="Create a new document." ma:contentTypeScope="" ma:versionID="3bbe985836b7d604ae2c394b6180e6cb">
  <xsd:schema xmlns:xsd="http://www.w3.org/2001/XMLSchema" xmlns:xs="http://www.w3.org/2001/XMLSchema" xmlns:p="http://schemas.microsoft.com/office/2006/metadata/properties" xmlns:ns3="f30bebb2-c01f-48d0-81da-dc8b123879c2" xmlns:ns4="b7e247b7-cca8-429f-8688-16f83c8fba5f" targetNamespace="http://schemas.microsoft.com/office/2006/metadata/properties" ma:root="true" ma:fieldsID="ad74b58bd200a9ac846aa7c95653add4" ns3:_="" ns4:_="">
    <xsd:import namespace="f30bebb2-c01f-48d0-81da-dc8b123879c2"/>
    <xsd:import namespace="b7e247b7-cca8-429f-8688-16f83c8fba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bebb2-c01f-48d0-81da-dc8b12387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247b7-cca8-429f-8688-16f83c8fba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8BA0-235A-40D5-B70D-629766A4582D}">
  <ds:schemaRefs>
    <ds:schemaRef ds:uri="http://schemas.microsoft.com/sharepoint/v3/contenttype/forms"/>
  </ds:schemaRefs>
</ds:datastoreItem>
</file>

<file path=customXml/itemProps2.xml><?xml version="1.0" encoding="utf-8"?>
<ds:datastoreItem xmlns:ds="http://schemas.openxmlformats.org/officeDocument/2006/customXml" ds:itemID="{2AE0182D-700B-489A-86E2-F4D87959D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bebb2-c01f-48d0-81da-dc8b123879c2"/>
    <ds:schemaRef ds:uri="b7e247b7-cca8-429f-8688-16f83c8f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7D015-E608-47C6-9A02-77D38B8DA40D}">
  <ds:schemaRefs>
    <ds:schemaRef ds:uri="b7e247b7-cca8-429f-8688-16f83c8fba5f"/>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f30bebb2-c01f-48d0-81da-dc8b123879c2"/>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ECF2EF7-6877-4C32-97BB-8732A34E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4480</Words>
  <Characters>25540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BOSWELL, Catherine (NHS ENGLAND &amp; NHS IMPROVEMENT - X24)</dc:creator>
  <cp:keywords/>
  <dc:description/>
  <cp:lastModifiedBy>Beverley Gregory (Public Health Wales - Matrix House)</cp:lastModifiedBy>
  <cp:revision>8</cp:revision>
  <cp:lastPrinted>2023-02-16T16:44:00Z</cp:lastPrinted>
  <dcterms:created xsi:type="dcterms:W3CDTF">2023-11-01T16:29:00Z</dcterms:created>
  <dcterms:modified xsi:type="dcterms:W3CDTF">2023-11-07T08:35:00Z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0x01010072F936CDCDE8F8418920914B3BFFF19C</vt:lpwstr>
  </property>
</Properties>
</file>